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910797d" w14:textId="910797d">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Методики расчета базового индекса потребительских цен</w:t>
      </w:r>
    </w:p>
    <w:p>
      <w:pPr>
        <w:spacing w:after="0"/>
        <w:ind w:left="0"/>
        <w:jc w:val="both"/>
      </w:pPr>
      <w:r>
        <w:rPr>
          <w:rFonts w:ascii="Times New Roman"/>
          <w:b w:val="false"/>
          <w:i w:val="false"/>
          <w:color w:val="000000"/>
          <w:sz w:val="28"/>
        </w:rPr>
        <w:t>Приказ Председателя Комитета по статистике Министерства национальной экономики Республики Казахстан от 24 ноября 2016 года № 274. Зарегистрирован в Министерстве юстиции Республики Казахстан 21 декабря 2016 года № 14544.</w:t>
      </w:r>
    </w:p>
    <w:p>
      <w:pPr>
        <w:spacing w:after="0"/>
        <w:ind w:left="0"/>
        <w:jc w:val="both"/>
      </w:pPr>
      <w:bookmarkStart w:name="z1" w:id="0"/>
      <w:r>
        <w:rPr>
          <w:rFonts w:ascii="Times New Roman"/>
          <w:b w:val="false"/>
          <w:i w:val="false"/>
          <w:color w:val="000000"/>
          <w:sz w:val="28"/>
        </w:rPr>
        <w:t xml:space="preserve">
      В соответствии с подпунктом 5) </w:t>
      </w:r>
      <w:r>
        <w:rPr>
          <w:rFonts w:ascii="Times New Roman"/>
          <w:b w:val="false"/>
          <w:i w:val="false"/>
          <w:color w:val="000000"/>
          <w:sz w:val="28"/>
        </w:rPr>
        <w:t>статьи 12</w:t>
      </w:r>
      <w:r>
        <w:rPr>
          <w:rFonts w:ascii="Times New Roman"/>
          <w:b w:val="false"/>
          <w:i w:val="false"/>
          <w:color w:val="000000"/>
          <w:sz w:val="28"/>
        </w:rPr>
        <w:t xml:space="preserve"> Закона Республики Казахстан "О государственной статистике" и подпунктом 22) </w:t>
      </w:r>
      <w:r>
        <w:rPr>
          <w:rFonts w:ascii="Times New Roman"/>
          <w:b w:val="false"/>
          <w:i w:val="false"/>
          <w:color w:val="000000"/>
          <w:sz w:val="28"/>
        </w:rPr>
        <w:t>пункта 17</w:t>
      </w:r>
      <w:r>
        <w:rPr>
          <w:rFonts w:ascii="Times New Roman"/>
          <w:b w:val="false"/>
          <w:i w:val="false"/>
          <w:color w:val="000000"/>
          <w:sz w:val="28"/>
        </w:rPr>
        <w:t xml:space="preserve"> Положения Агентства по стратегическому планированию и реформам Республики Казахстан, утвержденного Указом Президента Республики Казахстан от 5 октября 2020 года № 427, </w:t>
      </w:r>
      <w:r>
        <w:rPr>
          <w:rFonts w:ascii="Times New Roman"/>
          <w:b/>
          <w:i w:val="false"/>
          <w:color w:val="000000"/>
          <w:sz w:val="28"/>
        </w:rPr>
        <w:t>ПРИКАЗЫВАЮ</w:t>
      </w:r>
      <w:r>
        <w:rPr>
          <w:rFonts w:ascii="Times New Roman"/>
          <w:b w:val="false"/>
          <w:i w:val="false"/>
          <w:color w:val="000000"/>
          <w:sz w:val="28"/>
        </w:rPr>
        <w:t>:</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 в редакции приказа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xml:space="preserve">
      1. Утвердить прилагаемую </w:t>
      </w:r>
      <w:r>
        <w:rPr>
          <w:rFonts w:ascii="Times New Roman"/>
          <w:b w:val="false"/>
          <w:i w:val="false"/>
          <w:color w:val="000000"/>
          <w:sz w:val="28"/>
        </w:rPr>
        <w:t>Методику</w:t>
      </w:r>
      <w:r>
        <w:rPr>
          <w:rFonts w:ascii="Times New Roman"/>
          <w:b w:val="false"/>
          <w:i w:val="false"/>
          <w:color w:val="000000"/>
          <w:sz w:val="28"/>
        </w:rPr>
        <w:t xml:space="preserve"> расчета базового индекса потребительских цен.</w:t>
      </w:r>
    </w:p>
    <w:bookmarkEnd w:id="1"/>
    <w:bookmarkStart w:name="z3" w:id="2"/>
    <w:p>
      <w:pPr>
        <w:spacing w:after="0"/>
        <w:ind w:left="0"/>
        <w:jc w:val="both"/>
      </w:pPr>
      <w:r>
        <w:rPr>
          <w:rFonts w:ascii="Times New Roman"/>
          <w:b w:val="false"/>
          <w:i w:val="false"/>
          <w:color w:val="000000"/>
          <w:sz w:val="28"/>
        </w:rPr>
        <w:t>
      2. Управлению статистики цен совместно с Юридическим управлением Комитета по статистике Министерства национальной экономики Республики Казахстан обеспечить в установленном законодательством порядке:</w:t>
      </w:r>
    </w:p>
    <w:bookmarkEnd w:id="2"/>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p>
      <w:pPr>
        <w:spacing w:after="0"/>
        <w:ind w:left="0"/>
        <w:jc w:val="both"/>
      </w:pPr>
      <w:r>
        <w:rPr>
          <w:rFonts w:ascii="Times New Roman"/>
          <w:b w:val="false"/>
          <w:i w:val="false"/>
          <w:color w:val="000000"/>
          <w:sz w:val="28"/>
        </w:rPr>
        <w:t>
      2)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информационно-правовой системе "Әділет";</w:t>
      </w:r>
    </w:p>
    <w:p>
      <w:pPr>
        <w:spacing w:after="0"/>
        <w:ind w:left="0"/>
        <w:jc w:val="both"/>
      </w:pPr>
      <w:r>
        <w:rPr>
          <w:rFonts w:ascii="Times New Roman"/>
          <w:b w:val="false"/>
          <w:i w:val="false"/>
          <w:color w:val="000000"/>
          <w:sz w:val="28"/>
        </w:rPr>
        <w:t>
      3) направление копии настоящего приказа в Республиканское государственное предприятие на праве хозяйственного ведения "Республиканский центр правовой информации" для включения в Эталонный контрольный банк нормативных правовых актов Республики Казахстан в бумажном и электронном виде в течение десяти календарных дней со дня государственной регистрации;</w:t>
      </w:r>
    </w:p>
    <w:p>
      <w:pPr>
        <w:spacing w:after="0"/>
        <w:ind w:left="0"/>
        <w:jc w:val="both"/>
      </w:pPr>
      <w:r>
        <w:rPr>
          <w:rFonts w:ascii="Times New Roman"/>
          <w:b w:val="false"/>
          <w:i w:val="false"/>
          <w:color w:val="000000"/>
          <w:sz w:val="28"/>
        </w:rPr>
        <w:t>
      4) размещение настоящего приказа на интернет-ресурсах Комитета по статистике Министерства национальной экономики Республики Казахстан.</w:t>
      </w:r>
    </w:p>
    <w:bookmarkStart w:name="z4" w:id="3"/>
    <w:p>
      <w:pPr>
        <w:spacing w:after="0"/>
        <w:ind w:left="0"/>
        <w:jc w:val="both"/>
      </w:pPr>
      <w:r>
        <w:rPr>
          <w:rFonts w:ascii="Times New Roman"/>
          <w:b w:val="false"/>
          <w:i w:val="false"/>
          <w:color w:val="000000"/>
          <w:sz w:val="28"/>
        </w:rPr>
        <w:t>
      3. Контроль за исполнением настоящего приказа возложить на курирующего заместителя Председателя Комитета по статистике Министерства национальной экономики Республики Казахстан (Керимханова Г.М.).</w:t>
      </w:r>
    </w:p>
    <w:bookmarkEnd w:id="3"/>
    <w:bookmarkStart w:name="z5" w:id="4"/>
    <w:p>
      <w:pPr>
        <w:spacing w:after="0"/>
        <w:ind w:left="0"/>
        <w:jc w:val="both"/>
      </w:pPr>
      <w:r>
        <w:rPr>
          <w:rFonts w:ascii="Times New Roman"/>
          <w:b w:val="false"/>
          <w:i w:val="false"/>
          <w:color w:val="000000"/>
          <w:sz w:val="28"/>
        </w:rPr>
        <w:t>
      4. Настоящий приказ вводится в действие по истечении десяти календарных дней после дня его первого официального опубликования.</w:t>
      </w:r>
    </w:p>
    <w:bookmarkEnd w:id="4"/>
    <w:tbl>
      <w:tblPr>
        <w:tblW w:w="0" w:type="auto"/>
        <w:tblCellSpacing w:w="0" w:type="auto"/>
        <w:tblBorders>
          <w:top w:val="none"/>
          <w:left w:val="none"/>
          <w:bottom w:val="none"/>
          <w:right w:val="none"/>
          <w:insideH w:val="none"/>
          <w:insideV w:val="none"/>
        </w:tblBorders>
        <w:tblLayout w:type="fixed"/>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Председатель Комитета по статистике</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Министерства Национальной экономики</w:t>
            </w:r>
          </w:p>
        </w:tc>
        <w:tc>
          <w:tcPr>
            <w:tcW w:w="6150" w:type="dxa"/>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Республики Казахстан</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 Айдапкелов</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Утверждена</w:t>
            </w:r>
            <w:r>
              <w:br/>
            </w:r>
            <w:r>
              <w:rPr>
                <w:rFonts w:ascii="Times New Roman"/>
                <w:b w:val="false"/>
                <w:i w:val="false"/>
                <w:color w:val="000000"/>
                <w:sz w:val="20"/>
              </w:rPr>
              <w:t>приказом Председателя</w:t>
            </w:r>
            <w:r>
              <w:br/>
            </w:r>
            <w:r>
              <w:rPr>
                <w:rFonts w:ascii="Times New Roman"/>
                <w:b w:val="false"/>
                <w:i w:val="false"/>
                <w:color w:val="000000"/>
                <w:sz w:val="20"/>
              </w:rPr>
              <w:t>Комитета по статистике</w:t>
            </w:r>
            <w:r>
              <w:br/>
            </w:r>
            <w:r>
              <w:rPr>
                <w:rFonts w:ascii="Times New Roman"/>
                <w:b w:val="false"/>
                <w:i w:val="false"/>
                <w:color w:val="000000"/>
                <w:sz w:val="20"/>
              </w:rPr>
              <w:t>Министерства национальной экономики</w:t>
            </w:r>
            <w:r>
              <w:br/>
            </w:r>
            <w:r>
              <w:rPr>
                <w:rFonts w:ascii="Times New Roman"/>
                <w:b w:val="false"/>
                <w:i w:val="false"/>
                <w:color w:val="000000"/>
                <w:sz w:val="20"/>
              </w:rPr>
              <w:t>Республики Казахстан</w:t>
            </w:r>
            <w:r>
              <w:br/>
            </w:r>
            <w:r>
              <w:rPr>
                <w:rFonts w:ascii="Times New Roman"/>
                <w:b w:val="false"/>
                <w:i w:val="false"/>
                <w:color w:val="000000"/>
                <w:sz w:val="20"/>
              </w:rPr>
              <w:t>от 24 ноября 2016 года № 274</w:t>
            </w:r>
          </w:p>
        </w:tc>
      </w:tr>
    </w:tbl>
    <w:bookmarkStart w:name="z7" w:id="5"/>
    <w:p>
      <w:pPr>
        <w:spacing w:after="0"/>
        <w:ind w:left="0"/>
        <w:jc w:val="left"/>
      </w:pPr>
      <w:r>
        <w:rPr>
          <w:rFonts w:ascii="Times New Roman"/>
          <w:b/>
          <w:i w:val="false"/>
          <w:color w:val="000000"/>
        </w:rPr>
        <w:t xml:space="preserve"> Методика расчета базового индекса потребительских цен</w:t>
      </w:r>
      <w:r>
        <w:br/>
      </w:r>
      <w:r>
        <w:rPr>
          <w:rFonts w:ascii="Times New Roman"/>
          <w:b/>
          <w:i w:val="false"/>
          <w:color w:val="000000"/>
        </w:rPr>
        <w:t>Глава 1. Общие положения</w:t>
      </w:r>
    </w:p>
    <w:bookmarkEnd w:id="5"/>
    <w:bookmarkStart w:name="z9" w:id="6"/>
    <w:p>
      <w:pPr>
        <w:spacing w:after="0"/>
        <w:ind w:left="0"/>
        <w:jc w:val="both"/>
      </w:pPr>
      <w:r>
        <w:rPr>
          <w:rFonts w:ascii="Times New Roman"/>
          <w:b w:val="false"/>
          <w:i w:val="false"/>
          <w:color w:val="000000"/>
          <w:sz w:val="28"/>
        </w:rPr>
        <w:t xml:space="preserve">
      1. Методика расчета базового индекса потребительских цен (далее – Методика) относится к статистической методологии, формируемой в соответствии с международными стандартами и утверждаемой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от 19 марта 2010 года "О государственной статистике".</w:t>
      </w:r>
    </w:p>
    <w:bookmarkEnd w:id="6"/>
    <w:bookmarkStart w:name="z10" w:id="7"/>
    <w:p>
      <w:pPr>
        <w:spacing w:after="0"/>
        <w:ind w:left="0"/>
        <w:jc w:val="both"/>
      </w:pPr>
      <w:r>
        <w:rPr>
          <w:rFonts w:ascii="Times New Roman"/>
          <w:b w:val="false"/>
          <w:i w:val="false"/>
          <w:color w:val="000000"/>
          <w:sz w:val="28"/>
        </w:rPr>
        <w:t>
      2. Методика устанавливает методологические подходы расчета базового индекса потребительских цен (далее – БИПЦ), методы и порядок его расчета.</w:t>
      </w:r>
    </w:p>
    <w:bookmarkEnd w:id="7"/>
    <w:bookmarkStart w:name="z11" w:id="8"/>
    <w:p>
      <w:pPr>
        <w:spacing w:after="0"/>
        <w:ind w:left="0"/>
        <w:jc w:val="both"/>
      </w:pPr>
      <w:r>
        <w:rPr>
          <w:rFonts w:ascii="Times New Roman"/>
          <w:b w:val="false"/>
          <w:i w:val="false"/>
          <w:color w:val="000000"/>
          <w:sz w:val="28"/>
        </w:rPr>
        <w:t>
      3. Настоящая Методика применяется Бюро национальной статистики Агентства по стратегическому планированию и реформам Республики Казахстан при формировании БИПЦ.</w:t>
      </w:r>
    </w:p>
    <w:bookmarkEnd w:id="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3 - в редакции приказа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2" w:id="9"/>
    <w:p>
      <w:pPr>
        <w:spacing w:after="0"/>
        <w:ind w:left="0"/>
        <w:jc w:val="both"/>
      </w:pPr>
      <w:r>
        <w:rPr>
          <w:rFonts w:ascii="Times New Roman"/>
          <w:b w:val="false"/>
          <w:i w:val="false"/>
          <w:color w:val="000000"/>
          <w:sz w:val="28"/>
        </w:rPr>
        <w:t>
      4. Методика разработана с учетом принципов и рекомендаций "Руководства по индексу потребительских цен: теория и практика" (2004 год), подготовленного Международной организацией труда, Международным Валютным Фондом, Организацией экономического сотрудничества и развития, Статистическим бюро Европейских сообществ, Европейской экономической комиссией Организации Объединенных Наций и Всемирным банком.</w:t>
      </w:r>
    </w:p>
    <w:bookmarkEnd w:id="9"/>
    <w:bookmarkStart w:name="z13" w:id="10"/>
    <w:p>
      <w:pPr>
        <w:spacing w:after="0"/>
        <w:ind w:left="0"/>
        <w:jc w:val="both"/>
      </w:pPr>
      <w:r>
        <w:rPr>
          <w:rFonts w:ascii="Times New Roman"/>
          <w:b w:val="false"/>
          <w:i w:val="false"/>
          <w:color w:val="000000"/>
          <w:sz w:val="28"/>
        </w:rPr>
        <w:t>
      5. БИПЦ является производным индексом цен от индекса потребительских цен (далее – ИПЦ), отражающим долгосрочную динамику изменения цен, не подверженную воздействиям шоков спроса и предложения, сезонного, событийного и случайного фактора, а также административному воздействию на процессы ценообразования.</w:t>
      </w:r>
    </w:p>
    <w:bookmarkEnd w:id="10"/>
    <w:p>
      <w:pPr>
        <w:spacing w:after="0"/>
        <w:ind w:left="0"/>
        <w:jc w:val="both"/>
      </w:pPr>
      <w:r>
        <w:rPr>
          <w:rFonts w:ascii="Times New Roman"/>
          <w:b w:val="false"/>
          <w:i w:val="false"/>
          <w:color w:val="000000"/>
          <w:sz w:val="28"/>
        </w:rPr>
        <w:t>
      Построение БИПЦ базируется на методологии формирования ИПЦ и его исчисление осуществляется методом непосредственного исключения из ИПЦ:</w:t>
      </w:r>
    </w:p>
    <w:p>
      <w:pPr>
        <w:spacing w:after="0"/>
        <w:ind w:left="0"/>
        <w:jc w:val="both"/>
      </w:pPr>
      <w:r>
        <w:rPr>
          <w:rFonts w:ascii="Times New Roman"/>
          <w:b w:val="false"/>
          <w:i w:val="false"/>
          <w:color w:val="000000"/>
          <w:sz w:val="28"/>
        </w:rPr>
        <w:t>
      1) отдельных составляющих, отобранных преднамеренно или целенаправленно, независимо от фактического инфляционного проявления в них в любой момент времени;</w:t>
      </w:r>
    </w:p>
    <w:p>
      <w:pPr>
        <w:spacing w:after="0"/>
        <w:ind w:left="0"/>
        <w:jc w:val="both"/>
      </w:pPr>
      <w:r>
        <w:rPr>
          <w:rFonts w:ascii="Times New Roman"/>
          <w:b w:val="false"/>
          <w:i w:val="false"/>
          <w:color w:val="000000"/>
          <w:sz w:val="28"/>
        </w:rPr>
        <w:t>
      2) составляющих, цены на которые в рассматриваемый период продемонстрировали наибольшие изменения цен в определенный момент времени, независимо от их социальной важности и структурного веса в общей совокупности.</w:t>
      </w:r>
    </w:p>
    <w:p>
      <w:pPr>
        <w:spacing w:after="0"/>
        <w:ind w:left="0"/>
        <w:jc w:val="both"/>
      </w:pPr>
      <w:r>
        <w:rPr>
          <w:rFonts w:ascii="Times New Roman"/>
          <w:b w:val="false"/>
          <w:i w:val="false"/>
          <w:color w:val="000000"/>
          <w:sz w:val="28"/>
        </w:rPr>
        <w:t>
      Построение БИПЦ производится на базе информационных потоков, используемых при построении ИПЦ. Основой являются данные об изменении цен на товары и услуги, включенные в расчет ИПЦ и система весов, отражающая структуру индексируемых величин.</w:t>
      </w:r>
    </w:p>
    <w:bookmarkStart w:name="z14" w:id="11"/>
    <w:p>
      <w:pPr>
        <w:spacing w:after="0"/>
        <w:ind w:left="0"/>
        <w:jc w:val="both"/>
      </w:pPr>
      <w:r>
        <w:rPr>
          <w:rFonts w:ascii="Times New Roman"/>
          <w:b w:val="false"/>
          <w:i w:val="false"/>
          <w:color w:val="000000"/>
          <w:sz w:val="28"/>
        </w:rPr>
        <w:t>
      6. БИПЦ применяется для проведения экономического анализа, текущего и среднесрочного прогнозирования.</w:t>
      </w:r>
    </w:p>
    <w:bookmarkEnd w:id="11"/>
    <w:bookmarkStart w:name="z15" w:id="12"/>
    <w:p>
      <w:pPr>
        <w:spacing w:after="0"/>
        <w:ind w:left="0"/>
        <w:jc w:val="left"/>
      </w:pPr>
      <w:r>
        <w:rPr>
          <w:rFonts w:ascii="Times New Roman"/>
          <w:b/>
          <w:i w:val="false"/>
          <w:color w:val="000000"/>
        </w:rPr>
        <w:t xml:space="preserve"> Глава 2. Методологические подходы измерения БИПЦ</w:t>
      </w:r>
    </w:p>
    <w:bookmarkEnd w:id="12"/>
    <w:bookmarkStart w:name="z16" w:id="13"/>
    <w:p>
      <w:pPr>
        <w:spacing w:after="0"/>
        <w:ind w:left="0"/>
        <w:jc w:val="both"/>
      </w:pPr>
      <w:r>
        <w:rPr>
          <w:rFonts w:ascii="Times New Roman"/>
          <w:b w:val="false"/>
          <w:i w:val="false"/>
          <w:color w:val="000000"/>
          <w:sz w:val="28"/>
        </w:rPr>
        <w:t>
      7. Показатель БИПЦ учитывает основной долгосрочный ценовой тренд, отражающий состояние спроса в экономике и устраняющий влияние ценовых шоков.</w:t>
      </w:r>
    </w:p>
    <w:bookmarkEnd w:id="13"/>
    <w:p>
      <w:pPr>
        <w:spacing w:after="0"/>
        <w:ind w:left="0"/>
        <w:jc w:val="both"/>
      </w:pPr>
      <w:r>
        <w:rPr>
          <w:rFonts w:ascii="Times New Roman"/>
          <w:b w:val="false"/>
          <w:i w:val="false"/>
          <w:color w:val="000000"/>
          <w:sz w:val="28"/>
        </w:rPr>
        <w:t>
      Ценовые шоки подразделяются на временные и долгие ценовые шоки инфляции. Общая формула ценовых шоков:</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7526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1752600" cy="368300"/>
                    </a:xfrm>
                    <a:prstGeom prst="rect">
                      <a:avLst/>
                    </a:prstGeom>
                  </pic:spPr>
                </pic:pic>
              </a:graphicData>
            </a:graphic>
          </wp:inline>
        </w:drawing>
      </w:r>
    </w:p>
    <w:p>
      <w:pPr>
        <w:spacing w:after="0"/>
        <w:ind w:left="0"/>
        <w:jc w:val="left"/>
      </w:pPr>
      <w:r>
        <w:rPr>
          <w:rFonts w:ascii="Times New Roman"/>
          <w:b w:val="false"/>
          <w:i w:val="false"/>
          <w:color w:val="000000"/>
          <w:sz w:val="28"/>
        </w:rPr>
        <w:t xml:space="preserve">                  (1)</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92100" cy="254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292100" cy="2540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ценовые шоки инфляции;</w:t>
      </w:r>
      <w:r>
        <w:br/>
      </w:r>
      <w:r>
        <w:rPr>
          <w:rFonts w:ascii="Times New Roman"/>
          <w:b w:val="false"/>
          <w:i w:val="false"/>
          <w:color w:val="000000"/>
          <w:sz w:val="28"/>
        </w:rPr>
        <w:t>
</w:t>
      </w:r>
      <w:r>
        <w:br/>
      </w:r>
    </w:p>
    <w:p>
      <w:pPr>
        <w:spacing w:after="0"/>
        <w:ind w:left="0"/>
        <w:jc w:val="both"/>
      </w:pPr>
      <w:r>
        <w:drawing>
          <wp:inline distT="0" distB="0" distL="0" distR="0">
            <wp:extent cx="3175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3175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краткосрочные ценовые шоки;</w:t>
      </w:r>
      <w:r>
        <w:br/>
      </w:r>
      <w:r>
        <w:rPr>
          <w:rFonts w:ascii="Times New Roman"/>
          <w:b w:val="false"/>
          <w:i w:val="false"/>
          <w:color w:val="000000"/>
          <w:sz w:val="28"/>
        </w:rPr>
        <w:t>
</w:t>
      </w:r>
      <w:r>
        <w:br/>
      </w:r>
    </w:p>
    <w:p>
      <w:pPr>
        <w:spacing w:after="0"/>
        <w:ind w:left="0"/>
        <w:jc w:val="both"/>
      </w:pPr>
      <w:r>
        <w:drawing>
          <wp:inline distT="0" distB="0" distL="0" distR="0">
            <wp:extent cx="431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4318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ожидаемые в будущем ценовые шоки.</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Первый компонент </w:t>
      </w:r>
    </w:p>
    <w:p>
      <w:pPr>
        <w:spacing w:after="0"/>
        <w:ind w:left="0"/>
        <w:jc w:val="both"/>
      </w:pPr>
      <w:r>
        <w:drawing>
          <wp:inline distT="0" distB="0" distL="0" distR="0">
            <wp:extent cx="3175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3175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охватывает эффект временных относительных ценовых шоков, воздействующих на волатильные компоненты отдельных видов продуктов питания и энергоресурсов. Второй компонент </w:t>
      </w:r>
    </w:p>
    <w:p>
      <w:pPr>
        <w:spacing w:after="0"/>
        <w:ind w:left="0"/>
        <w:jc w:val="both"/>
      </w:pPr>
      <w:r>
        <w:drawing>
          <wp:inline distT="0" distB="0" distL="0" distR="0">
            <wp:extent cx="431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4318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выражает ожидаемые в будущем шоки инфляции. Разница между ними определяется периодом продолжения влияния этих эффектов на общую инфляцию. Шоки </w:t>
      </w:r>
    </w:p>
    <w:p>
      <w:pPr>
        <w:spacing w:after="0"/>
        <w:ind w:left="0"/>
        <w:jc w:val="both"/>
      </w:pPr>
      <w:r>
        <w:drawing>
          <wp:inline distT="0" distB="0" distL="0" distR="0">
            <wp:extent cx="431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4318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порожденные предложением и спросом, влияют на инфляцию по истечении определенного периода времени, в то время как ценовые шоки </w:t>
      </w:r>
    </w:p>
    <w:p>
      <w:pPr>
        <w:spacing w:after="0"/>
        <w:ind w:left="0"/>
        <w:jc w:val="both"/>
      </w:pPr>
      <w:r>
        <w:drawing>
          <wp:inline distT="0" distB="0" distL="0" distR="0">
            <wp:extent cx="3175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317500" cy="292100"/>
                    </a:xfrm>
                    <a:prstGeom prst="rect">
                      <a:avLst/>
                    </a:prstGeom>
                  </pic:spPr>
                </pic:pic>
              </a:graphicData>
            </a:graphic>
          </wp:inline>
        </w:drawing>
      </w:r>
    </w:p>
    <w:p>
      <w:pPr>
        <w:spacing w:after="0"/>
        <w:ind w:left="0"/>
        <w:jc w:val="left"/>
      </w:pPr>
      <w:r>
        <w:rPr>
          <w:rFonts w:ascii="Times New Roman"/>
          <w:b w:val="false"/>
          <w:i w:val="false"/>
          <w:color w:val="000000"/>
          <w:sz w:val="28"/>
        </w:rPr>
        <w:t>, отражаются на измеряемой инфляции.</w:t>
      </w:r>
      <w:r>
        <w:br/>
      </w:r>
      <w:r>
        <w:rPr>
          <w:rFonts w:ascii="Times New Roman"/>
          <w:b w:val="false"/>
          <w:i w:val="false"/>
          <w:color w:val="000000"/>
          <w:sz w:val="28"/>
        </w:rPr>
        <w:t>
</w:t>
      </w:r>
    </w:p>
    <w:bookmarkStart w:name="z17" w:id="14"/>
    <w:p>
      <w:pPr>
        <w:spacing w:after="0"/>
        <w:ind w:left="0"/>
        <w:jc w:val="both"/>
      </w:pPr>
      <w:r>
        <w:rPr>
          <w:rFonts w:ascii="Times New Roman"/>
          <w:b w:val="false"/>
          <w:i w:val="false"/>
          <w:color w:val="000000"/>
          <w:sz w:val="28"/>
        </w:rPr>
        <w:t>
      8. Ценовые шоки с точки зрения их продолжительности предусматривают два варианта определения БИПЦ:</w:t>
      </w:r>
    </w:p>
    <w:bookmarkEnd w:id="14"/>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498600" cy="393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1498600" cy="393700"/>
                    </a:xfrm>
                    <a:prstGeom prst="rect">
                      <a:avLst/>
                    </a:prstGeom>
                  </pic:spPr>
                </pic:pic>
              </a:graphicData>
            </a:graphic>
          </wp:inline>
        </w:drawing>
      </w:r>
    </w:p>
    <w:p>
      <w:pPr>
        <w:spacing w:after="0"/>
        <w:ind w:left="0"/>
        <w:jc w:val="left"/>
      </w:pPr>
      <w:r>
        <w:rPr>
          <w:rFonts w:ascii="Times New Roman"/>
          <w:b w:val="false"/>
          <w:i w:val="false"/>
          <w:color w:val="000000"/>
          <w:sz w:val="28"/>
        </w:rPr>
        <w:t xml:space="preserve">      (2)</w:t>
      </w:r>
      <w:r>
        <w:br/>
      </w:r>
      <w:r>
        <w:rPr>
          <w:rFonts w:ascii="Times New Roman"/>
          <w:b w:val="false"/>
          <w:i w:val="false"/>
          <w:color w:val="000000"/>
          <w:sz w:val="28"/>
        </w:rPr>
        <w:t>
</w:t>
      </w:r>
      <w:r>
        <w:br/>
      </w:r>
    </w:p>
    <w:p>
      <w:pPr>
        <w:spacing w:after="0"/>
        <w:ind w:left="0"/>
        <w:jc w:val="both"/>
      </w:pPr>
      <w:r>
        <w:drawing>
          <wp:inline distT="0" distB="0" distL="0" distR="0">
            <wp:extent cx="1943100" cy="457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1943100" cy="457200"/>
                    </a:xfrm>
                    <a:prstGeom prst="rect">
                      <a:avLst/>
                    </a:prstGeom>
                  </pic:spPr>
                </pic:pic>
              </a:graphicData>
            </a:graphic>
          </wp:inline>
        </w:drawing>
      </w:r>
    </w:p>
    <w:p>
      <w:pPr>
        <w:spacing w:after="0"/>
        <w:ind w:left="0"/>
        <w:jc w:val="left"/>
      </w:pPr>
      <w:r>
        <w:rPr>
          <w:rFonts w:ascii="Times New Roman"/>
          <w:b w:val="false"/>
          <w:i w:val="false"/>
          <w:color w:val="000000"/>
          <w:sz w:val="28"/>
        </w:rPr>
        <w:t xml:space="preserve">      (3)</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838200" cy="3937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838200" cy="3937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БИПЦ;</w:t>
      </w:r>
      <w:r>
        <w:br/>
      </w:r>
      <w:r>
        <w:rPr>
          <w:rFonts w:ascii="Times New Roman"/>
          <w:b w:val="false"/>
          <w:i w:val="false"/>
          <w:color w:val="000000"/>
          <w:sz w:val="28"/>
        </w:rPr>
        <w:t>
</w:t>
      </w:r>
      <w:r>
        <w:br/>
      </w:r>
    </w:p>
    <w:p>
      <w:pPr>
        <w:spacing w:after="0"/>
        <w:ind w:left="0"/>
        <w:jc w:val="both"/>
      </w:pPr>
      <w:r>
        <w:drawing>
          <wp:inline distT="0" distB="0" distL="0" distR="0">
            <wp:extent cx="3048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048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ИПЦ;</w:t>
      </w:r>
      <w:r>
        <w:br/>
      </w:r>
      <w:r>
        <w:rPr>
          <w:rFonts w:ascii="Times New Roman"/>
          <w:b w:val="false"/>
          <w:i w:val="false"/>
          <w:color w:val="000000"/>
          <w:sz w:val="28"/>
        </w:rPr>
        <w:t>
</w:t>
      </w:r>
      <w:r>
        <w:br/>
      </w:r>
    </w:p>
    <w:p>
      <w:pPr>
        <w:spacing w:after="0"/>
        <w:ind w:left="0"/>
        <w:jc w:val="both"/>
      </w:pPr>
      <w:r>
        <w:drawing>
          <wp:inline distT="0" distB="0" distL="0" distR="0">
            <wp:extent cx="317500" cy="292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6"/>
                    <a:stretch>
                      <a:fillRect/>
                    </a:stretch>
                  </pic:blipFill>
                  <pic:spPr>
                    <a:xfrm>
                      <a:off x="0" y="0"/>
                      <a:ext cx="317500" cy="292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краткосрочные ценовые шоки;</w:t>
      </w:r>
      <w:r>
        <w:br/>
      </w:r>
      <w:r>
        <w:rPr>
          <w:rFonts w:ascii="Times New Roman"/>
          <w:b w:val="false"/>
          <w:i w:val="false"/>
          <w:color w:val="000000"/>
          <w:sz w:val="28"/>
        </w:rPr>
        <w:t>
</w:t>
      </w:r>
      <w:r>
        <w:br/>
      </w:r>
    </w:p>
    <w:p>
      <w:pPr>
        <w:spacing w:after="0"/>
        <w:ind w:left="0"/>
        <w:jc w:val="both"/>
      </w:pPr>
      <w:r>
        <w:drawing>
          <wp:inline distT="0" distB="0" distL="0" distR="0">
            <wp:extent cx="431800" cy="304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7"/>
                    <a:stretch>
                      <a:fillRect/>
                    </a:stretch>
                  </pic:blipFill>
                  <pic:spPr>
                    <a:xfrm>
                      <a:off x="0" y="0"/>
                      <a:ext cx="431800" cy="304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ожидаемые в будущем ценовые шоки.</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Выбор между подходами определения БИПЦ зависит от объекта измерения. При исключении влияния обратимых ценовых шоков в долгосрочном развитии инфляционного процесса подходящим является измерение БИПЦ </w:t>
      </w:r>
    </w:p>
    <w:p>
      <w:pPr>
        <w:spacing w:after="0"/>
        <w:ind w:left="0"/>
        <w:jc w:val="both"/>
      </w:pPr>
      <w:r>
        <w:drawing>
          <wp:inline distT="0" distB="0" distL="0" distR="0">
            <wp:extent cx="304800" cy="4318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8"/>
                    <a:stretch>
                      <a:fillRect/>
                    </a:stretch>
                  </pic:blipFill>
                  <pic:spPr>
                    <a:xfrm>
                      <a:off x="0" y="0"/>
                      <a:ext cx="304800" cy="431800"/>
                    </a:xfrm>
                    <a:prstGeom prst="rect">
                      <a:avLst/>
                    </a:prstGeom>
                  </pic:spPr>
                </pic:pic>
              </a:graphicData>
            </a:graphic>
          </wp:inline>
        </w:drawing>
      </w:r>
    </w:p>
    <w:p>
      <w:pPr>
        <w:spacing w:after="0"/>
        <w:ind w:left="0"/>
        <w:jc w:val="left"/>
      </w:pPr>
      <w:r>
        <w:rPr>
          <w:rFonts w:ascii="Times New Roman"/>
          <w:b w:val="false"/>
          <w:i w:val="false"/>
          <w:color w:val="000000"/>
          <w:sz w:val="28"/>
        </w:rPr>
        <w:t xml:space="preserve">, определяемый путем исключения из общей инфляции шоков, оказывающие краткосрочное влияние. Для устранения однократных ценовых шоков с постоянным эффектом предпочтительным является измерение БИПЦ </w:t>
      </w:r>
    </w:p>
    <w:p>
      <w:pPr>
        <w:spacing w:after="0"/>
        <w:ind w:left="0"/>
        <w:jc w:val="both"/>
      </w:pPr>
      <w:r>
        <w:drawing>
          <wp:inline distT="0" distB="0" distL="0" distR="0">
            <wp:extent cx="368300" cy="3302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9"/>
                    <a:stretch>
                      <a:fillRect/>
                    </a:stretch>
                  </pic:blipFill>
                  <pic:spPr>
                    <a:xfrm>
                      <a:off x="0" y="0"/>
                      <a:ext cx="368300" cy="330200"/>
                    </a:xfrm>
                    <a:prstGeom prst="rect">
                      <a:avLst/>
                    </a:prstGeom>
                  </pic:spPr>
                </pic:pic>
              </a:graphicData>
            </a:graphic>
          </wp:inline>
        </w:drawing>
      </w:r>
    </w:p>
    <w:p>
      <w:pPr>
        <w:spacing w:after="0"/>
        <w:ind w:left="0"/>
        <w:jc w:val="left"/>
      </w:pPr>
      <w:r>
        <w:rPr>
          <w:rFonts w:ascii="Times New Roman"/>
          <w:b w:val="false"/>
          <w:i w:val="false"/>
          <w:color w:val="000000"/>
          <w:sz w:val="28"/>
        </w:rPr>
        <w:t>.</w:t>
      </w:r>
      <w:r>
        <w:br/>
      </w:r>
      <w:r>
        <w:rPr>
          <w:rFonts w:ascii="Times New Roman"/>
          <w:b w:val="false"/>
          <w:i w:val="false"/>
          <w:color w:val="000000"/>
          <w:sz w:val="28"/>
        </w:rPr>
        <w:t>
</w:t>
      </w:r>
    </w:p>
    <w:bookmarkStart w:name="z18" w:id="15"/>
    <w:p>
      <w:pPr>
        <w:spacing w:after="0"/>
        <w:ind w:left="0"/>
        <w:jc w:val="left"/>
      </w:pPr>
      <w:r>
        <w:rPr>
          <w:rFonts w:ascii="Times New Roman"/>
          <w:b/>
          <w:i w:val="false"/>
          <w:color w:val="000000"/>
        </w:rPr>
        <w:t xml:space="preserve"> Глава 3. Методы расчета БИПЦ</w:t>
      </w:r>
    </w:p>
    <w:bookmarkEnd w:id="15"/>
    <w:bookmarkStart w:name="z19" w:id="16"/>
    <w:p>
      <w:pPr>
        <w:spacing w:after="0"/>
        <w:ind w:left="0"/>
        <w:jc w:val="both"/>
      </w:pPr>
      <w:r>
        <w:rPr>
          <w:rFonts w:ascii="Times New Roman"/>
          <w:b w:val="false"/>
          <w:i w:val="false"/>
          <w:color w:val="000000"/>
          <w:sz w:val="28"/>
        </w:rPr>
        <w:t>
      9. Измерение БИПЦ осуществляется с применением различных методов, модифицированных по охвату составляющих, их важности, процедурам исчисления. Распространенными методами, используемыми при построении БИПЦ, являются метод простого исключения и метод усеченного среднего в соответствии с волатильностью компонентов.</w:t>
      </w:r>
    </w:p>
    <w:bookmarkEnd w:id="16"/>
    <w:bookmarkStart w:name="z20" w:id="17"/>
    <w:p>
      <w:pPr>
        <w:spacing w:after="0"/>
        <w:ind w:left="0"/>
        <w:jc w:val="both"/>
      </w:pPr>
      <w:r>
        <w:rPr>
          <w:rFonts w:ascii="Times New Roman"/>
          <w:b w:val="false"/>
          <w:i w:val="false"/>
          <w:color w:val="000000"/>
          <w:sz w:val="28"/>
        </w:rPr>
        <w:t>
      10. При методе простого исключения периодически исключаются из ИПЦ компоненты, проявляющие повышенную волатильность, неустойчивость, нестабильность, высокую степень изменчивости рыночной конъюнктуры, спроса, цен. Резкие колебания цен на волатильные компоненты обуславливаются влиянием внешнеторговой конъюнктуры, сезонных и случайных факторов, искажают основной долгосрочный ценовой тренд при построении ИПЦ. Данный метод измерения БИПЦ обеспечивает абстрагирование от влияния факторов, используя волатильность в качестве критерия для исключения компонентов.</w:t>
      </w:r>
    </w:p>
    <w:bookmarkEnd w:id="17"/>
    <w:p>
      <w:pPr>
        <w:spacing w:after="0"/>
        <w:ind w:left="0"/>
        <w:jc w:val="both"/>
      </w:pPr>
      <w:r>
        <w:rPr>
          <w:rFonts w:ascii="Times New Roman"/>
          <w:b w:val="false"/>
          <w:i w:val="false"/>
          <w:color w:val="000000"/>
          <w:sz w:val="28"/>
        </w:rPr>
        <w:t>
      Волатильные компоненты периодически не включаются в процесс формирования показателя БИПЦ. В результате движение цен на отдельные товары (услуги) перераспределяются для получения устойчивого их изменения. Осуществляется пересчет ИПЦ за вычетом соответствующих элементарных индексов, не требующий его дальнейшей корректировки и дополнительных расчетов на агрегированном уровне.</w:t>
      </w:r>
    </w:p>
    <w:p>
      <w:pPr>
        <w:spacing w:after="0"/>
        <w:ind w:left="0"/>
        <w:jc w:val="both"/>
      </w:pPr>
      <w:r>
        <w:rPr>
          <w:rFonts w:ascii="Times New Roman"/>
          <w:b w:val="false"/>
          <w:i w:val="false"/>
          <w:color w:val="000000"/>
          <w:sz w:val="28"/>
        </w:rPr>
        <w:t>
      При применении данного метода измерения БИПЦ пересчитываются весовые составляющие, используемые при построении ИПЦ. Исключенным волатильным компонентам присваивается нулевой вес, у оставшихся компонентов повышается вес после применения процедуры нормализации.</w:t>
      </w:r>
    </w:p>
    <w:bookmarkStart w:name="z21" w:id="18"/>
    <w:p>
      <w:pPr>
        <w:spacing w:after="0"/>
        <w:ind w:left="0"/>
        <w:jc w:val="both"/>
      </w:pPr>
      <w:r>
        <w:rPr>
          <w:rFonts w:ascii="Times New Roman"/>
          <w:b w:val="false"/>
          <w:i w:val="false"/>
          <w:color w:val="000000"/>
          <w:sz w:val="28"/>
        </w:rPr>
        <w:t>
      11. Расчет БИПЦ без учета изменений цен по отдельным конкретным составляющим производится:</w:t>
      </w:r>
    </w:p>
    <w:bookmarkEnd w:id="18"/>
    <w:p>
      <w:pPr>
        <w:spacing w:after="0"/>
        <w:ind w:left="0"/>
        <w:jc w:val="both"/>
      </w:pPr>
      <w:r>
        <w:rPr>
          <w:rFonts w:ascii="Times New Roman"/>
          <w:b w:val="false"/>
          <w:i w:val="false"/>
          <w:color w:val="000000"/>
          <w:sz w:val="28"/>
        </w:rPr>
        <w:t>
      1) без одной составляющей (фрукты и овощи);</w:t>
      </w:r>
    </w:p>
    <w:p>
      <w:pPr>
        <w:spacing w:after="0"/>
        <w:ind w:left="0"/>
        <w:jc w:val="both"/>
      </w:pPr>
      <w:r>
        <w:rPr>
          <w:rFonts w:ascii="Times New Roman"/>
          <w:b w:val="false"/>
          <w:i w:val="false"/>
          <w:color w:val="000000"/>
          <w:sz w:val="28"/>
        </w:rPr>
        <w:t>
      2) без трех составляющих (свежие фрукты и овощи, бензин, уголь);</w:t>
      </w:r>
    </w:p>
    <w:p>
      <w:pPr>
        <w:spacing w:after="0"/>
        <w:ind w:left="0"/>
        <w:jc w:val="both"/>
      </w:pPr>
      <w:r>
        <w:rPr>
          <w:rFonts w:ascii="Times New Roman"/>
          <w:b w:val="false"/>
          <w:i w:val="false"/>
          <w:color w:val="000000"/>
          <w:sz w:val="28"/>
        </w:rPr>
        <w:t>
      3) без семи составляющих (дизельное топливо и услуги жилищно-коммунального хозяйства, железнодорожного транспорта и связи).</w:t>
      </w:r>
    </w:p>
    <w:p>
      <w:pPr>
        <w:spacing w:after="0"/>
        <w:ind w:left="0"/>
        <w:jc w:val="both"/>
      </w:pPr>
      <w:r>
        <w:rPr>
          <w:rFonts w:ascii="Times New Roman"/>
          <w:b w:val="false"/>
          <w:i w:val="false"/>
          <w:color w:val="000000"/>
          <w:sz w:val="28"/>
        </w:rPr>
        <w:t>
      Исключение свежих овощей и фруктов связано с сезонным фактором, циклически проявляющимся в течение года и на протяжении ряда лет. Цены на бензин, дизельное топливо и уголь подвержены изменению конъюнктуры рынка и сезонному фактору.</w:t>
      </w:r>
    </w:p>
    <w:p>
      <w:pPr>
        <w:spacing w:after="0"/>
        <w:ind w:left="0"/>
        <w:jc w:val="both"/>
      </w:pPr>
      <w:r>
        <w:rPr>
          <w:rFonts w:ascii="Times New Roman"/>
          <w:b w:val="false"/>
          <w:i w:val="false"/>
          <w:color w:val="000000"/>
          <w:sz w:val="28"/>
        </w:rPr>
        <w:t>
      Исключение изменений цен и тарифов на жилищно-коммунальные услуги, железнодорожного пассажирского транспорта и связи объясняются их социальной направленностью. Данные услуги занимают значительный вес в структуре ИПЦ, тенденция движения цен не связана с инструментами денежно-кредитной политики, так как они меняются не постоянно, поэтапно.</w:t>
      </w:r>
    </w:p>
    <w:p>
      <w:pPr>
        <w:spacing w:after="0"/>
        <w:ind w:left="0"/>
        <w:jc w:val="both"/>
      </w:pPr>
      <w:r>
        <w:rPr>
          <w:rFonts w:ascii="Times New Roman"/>
          <w:b w:val="false"/>
          <w:i w:val="false"/>
          <w:color w:val="000000"/>
          <w:sz w:val="28"/>
        </w:rPr>
        <w:t>
      При формировании БИПЦ способом исключения одной, трех и семи составляющих используется следующая формула расчета:</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4800600" cy="736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0"/>
                    <a:stretch>
                      <a:fillRect/>
                    </a:stretch>
                  </pic:blipFill>
                  <pic:spPr>
                    <a:xfrm>
                      <a:off x="0" y="0"/>
                      <a:ext cx="4800600" cy="736600"/>
                    </a:xfrm>
                    <a:prstGeom prst="rect">
                      <a:avLst/>
                    </a:prstGeom>
                  </pic:spPr>
                </pic:pic>
              </a:graphicData>
            </a:graphic>
          </wp:inline>
        </w:drawing>
      </w:r>
    </w:p>
    <w:p>
      <w:pPr>
        <w:spacing w:after="0"/>
        <w:ind w:left="0"/>
        <w:jc w:val="left"/>
      </w:pPr>
      <w:r>
        <w:rPr>
          <w:rFonts w:ascii="Times New Roman"/>
          <w:b w:val="false"/>
          <w:i w:val="false"/>
          <w:color w:val="000000"/>
          <w:sz w:val="28"/>
        </w:rPr>
        <w:t xml:space="preserve">      (4)</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xml:space="preserve">
      </w:t>
      </w:r>
      <w:r>
        <w:rPr>
          <w:rFonts w:ascii="Times New Roman"/>
          <w:b w:val="false"/>
          <w:i/>
          <w:color w:val="000000"/>
          <w:sz w:val="28"/>
        </w:rPr>
        <w:t>CI</w:t>
      </w:r>
      <w:r>
        <w:rPr>
          <w:rFonts w:ascii="Times New Roman"/>
          <w:b w:val="false"/>
          <w:i w:val="false"/>
          <w:color w:val="000000"/>
          <w:sz w:val="28"/>
        </w:rPr>
        <w:t xml:space="preserve"> – БИПЦ;</w:t>
      </w:r>
    </w:p>
    <w:p>
      <w:pPr>
        <w:spacing w:after="0"/>
        <w:ind w:left="0"/>
        <w:jc w:val="both"/>
      </w:pPr>
      <w:r>
        <w:rPr>
          <w:rFonts w:ascii="Times New Roman"/>
          <w:b w:val="false"/>
          <w:i w:val="false"/>
          <w:color w:val="000000"/>
          <w:sz w:val="28"/>
        </w:rPr>
        <w:t xml:space="preserve">
      </w:t>
      </w:r>
      <w:r>
        <w:rPr>
          <w:rFonts w:ascii="Times New Roman"/>
          <w:b w:val="false"/>
          <w:i/>
          <w:color w:val="000000"/>
          <w:sz w:val="28"/>
        </w:rPr>
        <w:t>I</w:t>
      </w:r>
      <w:r>
        <w:rPr>
          <w:rFonts w:ascii="Times New Roman"/>
          <w:b w:val="false"/>
          <w:i w:val="false"/>
          <w:color w:val="000000"/>
          <w:vertAlign w:val="subscript"/>
        </w:rPr>
        <w:t>ИПЦ</w:t>
      </w:r>
      <w:r>
        <w:rPr>
          <w:rFonts w:ascii="Times New Roman"/>
          <w:b w:val="false"/>
          <w:i w:val="false"/>
          <w:color w:val="000000"/>
          <w:sz w:val="28"/>
        </w:rPr>
        <w:t xml:space="preserve"> – фактическое значение ИПЦ;</w:t>
      </w:r>
    </w:p>
    <w:p>
      <w:pPr>
        <w:spacing w:after="0"/>
        <w:ind w:left="0"/>
        <w:jc w:val="both"/>
      </w:pPr>
      <w:r>
        <w:rPr>
          <w:rFonts w:ascii="Times New Roman"/>
          <w:b w:val="false"/>
          <w:i w:val="false"/>
          <w:color w:val="000000"/>
          <w:sz w:val="28"/>
        </w:rPr>
        <w:t xml:space="preserve">
      </w:t>
      </w:r>
      <w:r>
        <w:rPr>
          <w:rFonts w:ascii="Times New Roman"/>
          <w:b w:val="false"/>
          <w:i/>
          <w:color w:val="000000"/>
          <w:sz w:val="28"/>
        </w:rPr>
        <w:t>Pa,Pb</w:t>
      </w:r>
      <w:r>
        <w:rPr>
          <w:rFonts w:ascii="Times New Roman"/>
          <w:b w:val="false"/>
          <w:i/>
          <w:color w:val="000000"/>
          <w:sz w:val="28"/>
        </w:rPr>
        <w:t>,Pc</w:t>
      </w:r>
      <w:r>
        <w:rPr>
          <w:rFonts w:ascii="Times New Roman"/>
          <w:b w:val="false"/>
          <w:i w:val="false"/>
          <w:color w:val="000000"/>
          <w:sz w:val="28"/>
        </w:rPr>
        <w:t xml:space="preserve"> – изменение цен на определенные для исключения товары (услуги) a,b,c;</w:t>
      </w:r>
    </w:p>
    <w:p>
      <w:pPr>
        <w:spacing w:after="0"/>
        <w:ind w:left="0"/>
        <w:jc w:val="both"/>
      </w:pPr>
      <w:r>
        <w:rPr>
          <w:rFonts w:ascii="Times New Roman"/>
          <w:b w:val="false"/>
          <w:i w:val="false"/>
          <w:color w:val="000000"/>
          <w:sz w:val="28"/>
        </w:rPr>
        <w:t xml:space="preserve">
      </w:t>
      </w:r>
      <w:r>
        <w:rPr>
          <w:rFonts w:ascii="Times New Roman"/>
          <w:b w:val="false"/>
          <w:i/>
          <w:color w:val="000000"/>
          <w:sz w:val="28"/>
        </w:rPr>
        <w:t>Qa,Qb</w:t>
      </w:r>
      <w:r>
        <w:rPr>
          <w:rFonts w:ascii="Times New Roman"/>
          <w:b w:val="false"/>
          <w:i/>
          <w:color w:val="000000"/>
          <w:sz w:val="28"/>
        </w:rPr>
        <w:t>,Qc</w:t>
      </w:r>
      <w:r>
        <w:rPr>
          <w:rFonts w:ascii="Times New Roman"/>
          <w:b w:val="false"/>
          <w:i w:val="false"/>
          <w:color w:val="000000"/>
          <w:sz w:val="28"/>
        </w:rPr>
        <w:t xml:space="preserve"> – удельный вес соответствующих товаров (услуг) в структуре ИПЦ.</w:t>
      </w:r>
    </w:p>
    <w:p>
      <w:pPr>
        <w:spacing w:after="0"/>
        <w:ind w:left="0"/>
        <w:jc w:val="both"/>
      </w:pPr>
      <w:r>
        <w:rPr>
          <w:rFonts w:ascii="Times New Roman"/>
          <w:b w:val="false"/>
          <w:i w:val="false"/>
          <w:color w:val="000000"/>
          <w:sz w:val="28"/>
        </w:rPr>
        <w:t>
      Преимуществом применения этого метода является обеспечение сопоставимости временных рядов показателей, доступность понимания общественностью. Получаемые в результате показатели считаются субъиндексами ИПЦ, их построение обеспечивает соблюдение всех существующих стандартов и требований формирования ИПЦ.</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11 с изменением, внесенным приказом Руководителя Бюро национальной статистики Агентства по стратегическому планированию и реформам РК от 23.04.2025 </w:t>
      </w:r>
      <w:r>
        <w:rPr>
          <w:rFonts w:ascii="Times New Roman"/>
          <w:b w:val="false"/>
          <w:i w:val="false"/>
          <w:color w:val="000000"/>
          <w:sz w:val="28"/>
        </w:rPr>
        <w:t>№ 9</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12. Исключен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13. Исключен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 w:id="19"/>
    <w:p>
      <w:pPr>
        <w:spacing w:after="0"/>
        <w:ind w:left="0"/>
        <w:jc w:val="both"/>
      </w:pPr>
      <w:r>
        <w:rPr>
          <w:rFonts w:ascii="Times New Roman"/>
          <w:b w:val="false"/>
          <w:i w:val="false"/>
          <w:color w:val="000000"/>
          <w:sz w:val="28"/>
        </w:rPr>
        <w:t>
      14. Из названных методов расчета БИПЦ за основной выбран метод простого исключения из ИПЦ трех составляющих (свежие фрукты и овощи, бензин, уголь). Остальные методы расчета БИПЦ применяются для аналитических и прогнозных целей. Применение рассмотренных методов, реализуемых в комплексе, образуют эффективную систему показателей, отражающих монетарное "поведение" инфляции.</w:t>
      </w:r>
    </w:p>
    <w:bookmarkEnd w:id="19"/>
    <w:bookmarkStart w:name="z25" w:id="20"/>
    <w:p>
      <w:pPr>
        <w:spacing w:after="0"/>
        <w:ind w:left="0"/>
        <w:jc w:val="left"/>
      </w:pPr>
      <w:r>
        <w:rPr>
          <w:rFonts w:ascii="Times New Roman"/>
          <w:b/>
          <w:i w:val="false"/>
          <w:color w:val="000000"/>
        </w:rPr>
        <w:t xml:space="preserve"> Глава 4. Расчет БИПЦ без учета изменений цен по отдельным составляющим</w:t>
      </w:r>
    </w:p>
    <w:bookmarkEnd w:id="20"/>
    <w:bookmarkStart w:name="z26" w:id="21"/>
    <w:p>
      <w:pPr>
        <w:spacing w:after="0"/>
        <w:ind w:left="0"/>
        <w:jc w:val="both"/>
      </w:pPr>
      <w:r>
        <w:rPr>
          <w:rFonts w:ascii="Times New Roman"/>
          <w:b w:val="false"/>
          <w:i w:val="false"/>
          <w:color w:val="000000"/>
          <w:sz w:val="28"/>
        </w:rPr>
        <w:t>
      15. Расчет БИПЦ без учета изменений цен по отдельным составляющим осуществляется в следующем порядке:</w:t>
      </w:r>
    </w:p>
    <w:bookmarkEnd w:id="21"/>
    <w:p>
      <w:pPr>
        <w:spacing w:after="0"/>
        <w:ind w:left="0"/>
        <w:jc w:val="both"/>
      </w:pPr>
      <w:r>
        <w:rPr>
          <w:rFonts w:ascii="Times New Roman"/>
          <w:b w:val="false"/>
          <w:i w:val="false"/>
          <w:color w:val="000000"/>
          <w:sz w:val="28"/>
        </w:rPr>
        <w:t>
      1) после определения ценового изменения в рамках расчета ИПЦ исключается определенный вид товаров и услуг (одна, три и семь составляющих ИПЦ), их удельный вес и ценовое изменение условно принимается равным нулю;</w:t>
      </w:r>
    </w:p>
    <w:p>
      <w:pPr>
        <w:spacing w:after="0"/>
        <w:ind w:left="0"/>
        <w:jc w:val="both"/>
      </w:pPr>
      <w:r>
        <w:rPr>
          <w:rFonts w:ascii="Times New Roman"/>
          <w:b w:val="false"/>
          <w:i w:val="false"/>
          <w:color w:val="000000"/>
          <w:sz w:val="28"/>
        </w:rPr>
        <w:t>
      2) далее определяется базовое изменение цен без учета изменения цен на исключаемые позиции по формуле:</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5219700" cy="8001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1"/>
                    <a:stretch>
                      <a:fillRect/>
                    </a:stretch>
                  </pic:blipFill>
                  <pic:spPr>
                    <a:xfrm>
                      <a:off x="0" y="0"/>
                      <a:ext cx="5219700" cy="800100"/>
                    </a:xfrm>
                    <a:prstGeom prst="rect">
                      <a:avLst/>
                    </a:prstGeom>
                  </pic:spPr>
                </pic:pic>
              </a:graphicData>
            </a:graphic>
          </wp:inline>
        </w:drawing>
      </w:r>
    </w:p>
    <w:p>
      <w:pPr>
        <w:spacing w:after="0"/>
        <w:ind w:left="0"/>
        <w:jc w:val="left"/>
      </w:pPr>
      <w:r>
        <w:rPr>
          <w:rFonts w:ascii="Times New Roman"/>
          <w:b w:val="false"/>
          <w:i w:val="false"/>
          <w:color w:val="000000"/>
          <w:sz w:val="28"/>
        </w:rPr>
        <w:t xml:space="preserve">      (7)</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xml:space="preserve">
      </w:t>
      </w:r>
      <w:r>
        <w:rPr>
          <w:rFonts w:ascii="Times New Roman"/>
          <w:b w:val="false"/>
          <w:i/>
          <w:color w:val="000000"/>
          <w:sz w:val="28"/>
        </w:rPr>
        <w:t xml:space="preserve">CI </w:t>
      </w:r>
      <w:r>
        <w:rPr>
          <w:rFonts w:ascii="Times New Roman"/>
          <w:b w:val="false"/>
          <w:i w:val="false"/>
          <w:color w:val="000000"/>
          <w:sz w:val="28"/>
        </w:rPr>
        <w:t>– БИПЦ;</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tj</w:t>
      </w:r>
      <w:r>
        <w:rPr>
          <w:rFonts w:ascii="Times New Roman"/>
          <w:b w:val="false"/>
          <w:i w:val="false"/>
          <w:color w:val="000000"/>
          <w:sz w:val="28"/>
        </w:rPr>
        <w:t xml:space="preserve"> </w:t>
      </w:r>
      <w:r>
        <w:rPr>
          <w:rFonts w:ascii="Times New Roman"/>
          <w:b w:val="false"/>
          <w:i/>
          <w:color w:val="000000"/>
          <w:sz w:val="28"/>
        </w:rPr>
        <w:t>i</w:t>
      </w:r>
      <w:r>
        <w:rPr>
          <w:rFonts w:ascii="Times New Roman"/>
          <w:b w:val="false"/>
          <w:i w:val="false"/>
          <w:color w:val="000000"/>
          <w:vertAlign w:val="subscript"/>
        </w:rPr>
        <w:t>tj</w:t>
      </w:r>
      <w:r>
        <w:rPr>
          <w:rFonts w:ascii="Times New Roman"/>
          <w:b w:val="false"/>
          <w:i w:val="false"/>
          <w:color w:val="000000"/>
          <w:sz w:val="28"/>
        </w:rPr>
        <w:t xml:space="preserve"> – структурная ценовая относительная отчетного периода </w:t>
      </w:r>
      <w:r>
        <w:rPr>
          <w:rFonts w:ascii="Times New Roman"/>
          <w:b w:val="false"/>
          <w:i/>
          <w:color w:val="000000"/>
          <w:sz w:val="28"/>
        </w:rPr>
        <w:t>t</w:t>
      </w:r>
      <w:r>
        <w:rPr>
          <w:rFonts w:ascii="Times New Roman"/>
          <w:b w:val="false"/>
          <w:i w:val="false"/>
          <w:color w:val="000000"/>
          <w:sz w:val="28"/>
        </w:rPr>
        <w:t xml:space="preserve"> позиции </w:t>
      </w:r>
      <w:r>
        <w:rPr>
          <w:rFonts w:ascii="Times New Roman"/>
          <w:b w:val="false"/>
          <w:i/>
          <w:color w:val="000000"/>
          <w:sz w:val="28"/>
        </w:rPr>
        <w:t>j</w:t>
      </w:r>
      <w:r>
        <w:rPr>
          <w:rFonts w:ascii="Times New Roman"/>
          <w:b w:val="false"/>
          <w:i w:val="false"/>
          <w:color w:val="000000"/>
          <w:sz w:val="28"/>
        </w:rPr>
        <w:t>;</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ty</w:t>
      </w:r>
      <w:r>
        <w:rPr>
          <w:rFonts w:ascii="Times New Roman"/>
          <w:b w:val="false"/>
          <w:i w:val="false"/>
          <w:color w:val="000000"/>
          <w:sz w:val="28"/>
        </w:rPr>
        <w:t xml:space="preserve"> </w:t>
      </w:r>
      <w:r>
        <w:rPr>
          <w:rFonts w:ascii="Times New Roman"/>
          <w:b w:val="false"/>
          <w:i/>
          <w:color w:val="000000"/>
          <w:sz w:val="28"/>
        </w:rPr>
        <w:t>i</w:t>
      </w:r>
      <w:r>
        <w:rPr>
          <w:rFonts w:ascii="Times New Roman"/>
          <w:b w:val="false"/>
          <w:i w:val="false"/>
          <w:color w:val="000000"/>
          <w:vertAlign w:val="subscript"/>
        </w:rPr>
        <w:t>ty</w:t>
      </w:r>
      <w:r>
        <w:rPr>
          <w:rFonts w:ascii="Times New Roman"/>
          <w:b w:val="false"/>
          <w:i w:val="false"/>
          <w:color w:val="000000"/>
          <w:sz w:val="28"/>
        </w:rPr>
        <w:t xml:space="preserve"> – структурная ценовая относительная отчетного периода </w:t>
      </w:r>
      <w:r>
        <w:rPr>
          <w:rFonts w:ascii="Times New Roman"/>
          <w:b w:val="false"/>
          <w:i/>
          <w:color w:val="000000"/>
          <w:sz w:val="28"/>
        </w:rPr>
        <w:t>t</w:t>
      </w:r>
      <w:r>
        <w:rPr>
          <w:rFonts w:ascii="Times New Roman"/>
          <w:b w:val="false"/>
          <w:i w:val="false"/>
          <w:color w:val="000000"/>
          <w:sz w:val="28"/>
        </w:rPr>
        <w:t xml:space="preserve"> исключаемой позиции </w:t>
      </w:r>
      <w:r>
        <w:rPr>
          <w:rFonts w:ascii="Times New Roman"/>
          <w:b w:val="false"/>
          <w:i/>
          <w:color w:val="000000"/>
          <w:sz w:val="28"/>
        </w:rPr>
        <w:t>y</w:t>
      </w:r>
      <w:r>
        <w:rPr>
          <w:rFonts w:ascii="Times New Roman"/>
          <w:b w:val="false"/>
          <w:i w:val="false"/>
          <w:color w:val="000000"/>
          <w:sz w:val="28"/>
        </w:rPr>
        <w:t>;</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oj</w:t>
      </w:r>
      <w:r>
        <w:rPr>
          <w:rFonts w:ascii="Times New Roman"/>
          <w:b w:val="false"/>
          <w:i w:val="false"/>
          <w:color w:val="000000"/>
          <w:sz w:val="28"/>
        </w:rPr>
        <w:t xml:space="preserve"> – удельный вес позиции </w:t>
      </w:r>
      <w:r>
        <w:rPr>
          <w:rFonts w:ascii="Times New Roman"/>
          <w:b w:val="false"/>
          <w:i/>
          <w:color w:val="000000"/>
          <w:sz w:val="28"/>
        </w:rPr>
        <w:t>j</w:t>
      </w:r>
      <w:r>
        <w:rPr>
          <w:rFonts w:ascii="Times New Roman"/>
          <w:b w:val="false"/>
          <w:i w:val="false"/>
          <w:color w:val="000000"/>
          <w:sz w:val="28"/>
        </w:rPr>
        <w:t xml:space="preserve"> в общей структуре потребительских расходов базового периода;</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oy</w:t>
      </w:r>
      <w:r>
        <w:rPr>
          <w:rFonts w:ascii="Times New Roman"/>
          <w:b w:val="false"/>
          <w:i w:val="false"/>
          <w:color w:val="000000"/>
          <w:sz w:val="28"/>
        </w:rPr>
        <w:t xml:space="preserve"> – удельный вес исключаемой позиции </w:t>
      </w:r>
      <w:r>
        <w:rPr>
          <w:rFonts w:ascii="Times New Roman"/>
          <w:b w:val="false"/>
          <w:i/>
          <w:color w:val="000000"/>
          <w:sz w:val="28"/>
        </w:rPr>
        <w:t>y</w:t>
      </w:r>
      <w:r>
        <w:rPr>
          <w:rFonts w:ascii="Times New Roman"/>
          <w:b w:val="false"/>
          <w:i w:val="false"/>
          <w:color w:val="000000"/>
          <w:sz w:val="28"/>
        </w:rPr>
        <w:t xml:space="preserve"> в общей структуре потребительских расходов базового периода;</w:t>
      </w:r>
    </w:p>
    <w:p>
      <w:pPr>
        <w:spacing w:after="0"/>
        <w:ind w:left="0"/>
        <w:jc w:val="both"/>
      </w:pPr>
      <w:r>
        <w:rPr>
          <w:rFonts w:ascii="Times New Roman"/>
          <w:b w:val="false"/>
          <w:i w:val="false"/>
          <w:color w:val="000000"/>
          <w:sz w:val="28"/>
        </w:rPr>
        <w:t xml:space="preserve">
      </w:t>
      </w:r>
      <w:r>
        <w:rPr>
          <w:rFonts w:ascii="Times New Roman"/>
          <w:b w:val="false"/>
          <w:i/>
          <w:color w:val="000000"/>
          <w:sz w:val="28"/>
        </w:rPr>
        <w:t>y</w:t>
      </w:r>
      <w:r>
        <w:rPr>
          <w:rFonts w:ascii="Times New Roman"/>
          <w:b w:val="false"/>
          <w:i w:val="false"/>
          <w:color w:val="000000"/>
          <w:vertAlign w:val="subscript"/>
        </w:rPr>
        <w:t>1</w:t>
      </w:r>
      <w:r>
        <w:rPr>
          <w:rFonts w:ascii="Times New Roman"/>
          <w:b w:val="false"/>
          <w:i/>
          <w:color w:val="000000"/>
          <w:sz w:val="28"/>
        </w:rPr>
        <w:t>,y</w:t>
      </w:r>
      <w:r>
        <w:rPr>
          <w:rFonts w:ascii="Times New Roman"/>
          <w:b w:val="false"/>
          <w:i w:val="false"/>
          <w:color w:val="000000"/>
          <w:vertAlign w:val="subscript"/>
        </w:rPr>
        <w:t>2</w:t>
      </w:r>
      <w:r>
        <w:rPr>
          <w:rFonts w:ascii="Times New Roman"/>
          <w:b w:val="false"/>
          <w:i/>
          <w:color w:val="000000"/>
          <w:sz w:val="28"/>
        </w:rPr>
        <w:t>,...,</w:t>
      </w:r>
      <w:r>
        <w:rPr>
          <w:rFonts w:ascii="Times New Roman"/>
          <w:b w:val="false"/>
          <w:i/>
          <w:color w:val="000000"/>
          <w:sz w:val="28"/>
        </w:rPr>
        <w:t>y</w:t>
      </w:r>
      <w:r>
        <w:rPr>
          <w:rFonts w:ascii="Times New Roman"/>
          <w:b w:val="false"/>
          <w:i w:val="false"/>
          <w:color w:val="000000"/>
          <w:vertAlign w:val="subscript"/>
        </w:rPr>
        <w:t>x</w:t>
      </w:r>
      <w:r>
        <w:rPr>
          <w:rFonts w:ascii="Times New Roman"/>
          <w:b w:val="false"/>
          <w:i w:val="false"/>
          <w:color w:val="000000"/>
          <w:sz w:val="28"/>
        </w:rPr>
        <w:t xml:space="preserve"> – конкретные исключаемые позиции;</w:t>
      </w:r>
    </w:p>
    <w:p>
      <w:pPr>
        <w:spacing w:after="0"/>
        <w:ind w:left="0"/>
        <w:jc w:val="both"/>
      </w:pPr>
      <w:r>
        <w:rPr>
          <w:rFonts w:ascii="Times New Roman"/>
          <w:b w:val="false"/>
          <w:i w:val="false"/>
          <w:color w:val="000000"/>
          <w:sz w:val="28"/>
        </w:rPr>
        <w:t xml:space="preserve">
      </w:t>
      </w:r>
      <w:r>
        <w:rPr>
          <w:rFonts w:ascii="Times New Roman"/>
          <w:b w:val="false"/>
          <w:i/>
          <w:color w:val="000000"/>
          <w:sz w:val="28"/>
        </w:rPr>
        <w:t>x</w:t>
      </w:r>
      <w:r>
        <w:rPr>
          <w:rFonts w:ascii="Times New Roman"/>
          <w:b w:val="false"/>
          <w:i w:val="false"/>
          <w:color w:val="000000"/>
          <w:sz w:val="28"/>
        </w:rPr>
        <w:t xml:space="preserve"> – количество исключаемых позиций;</w:t>
      </w:r>
    </w:p>
    <w:p>
      <w:pPr>
        <w:spacing w:after="0"/>
        <w:ind w:left="0"/>
        <w:jc w:val="both"/>
      </w:pPr>
      <w:r>
        <w:rPr>
          <w:rFonts w:ascii="Times New Roman"/>
          <w:b w:val="false"/>
          <w:i w:val="false"/>
          <w:color w:val="000000"/>
          <w:sz w:val="28"/>
        </w:rPr>
        <w:t xml:space="preserve">
      </w:t>
      </w:r>
      <w:r>
        <w:rPr>
          <w:rFonts w:ascii="Times New Roman"/>
          <w:b w:val="false"/>
          <w:i/>
          <w:color w:val="000000"/>
          <w:sz w:val="28"/>
        </w:rPr>
        <w:t>t</w:t>
      </w:r>
      <w:r>
        <w:rPr>
          <w:rFonts w:ascii="Times New Roman"/>
          <w:b w:val="false"/>
          <w:i w:val="false"/>
          <w:color w:val="000000"/>
          <w:vertAlign w:val="subscript"/>
        </w:rPr>
        <w:t>tj</w:t>
      </w:r>
      <w:r>
        <w:rPr>
          <w:rFonts w:ascii="Times New Roman"/>
          <w:b w:val="false"/>
          <w:i/>
          <w:color w:val="000000"/>
          <w:sz w:val="28"/>
        </w:rPr>
        <w:t xml:space="preserve">, </w:t>
      </w:r>
      <w:r>
        <w:rPr>
          <w:rFonts w:ascii="Times New Roman"/>
          <w:b w:val="false"/>
          <w:i/>
          <w:color w:val="000000"/>
          <w:sz w:val="28"/>
        </w:rPr>
        <w:t>i</w:t>
      </w:r>
      <w:r>
        <w:rPr>
          <w:rFonts w:ascii="Times New Roman"/>
          <w:b w:val="false"/>
          <w:i w:val="false"/>
          <w:color w:val="000000"/>
          <w:vertAlign w:val="subscript"/>
        </w:rPr>
        <w:t>ty</w:t>
      </w:r>
      <w:r>
        <w:rPr>
          <w:rFonts w:ascii="Times New Roman"/>
          <w:b w:val="false"/>
          <w:i w:val="false"/>
          <w:color w:val="000000"/>
          <w:sz w:val="28"/>
        </w:rPr>
        <w:t xml:space="preserve"> – индивидуальные индексы цен позиции </w:t>
      </w:r>
      <w:r>
        <w:rPr>
          <w:rFonts w:ascii="Times New Roman"/>
          <w:b w:val="false"/>
          <w:i/>
          <w:color w:val="000000"/>
          <w:sz w:val="28"/>
        </w:rPr>
        <w:t>j</w:t>
      </w:r>
      <w:r>
        <w:rPr>
          <w:rFonts w:ascii="Times New Roman"/>
          <w:b w:val="false"/>
          <w:i w:val="false"/>
          <w:color w:val="000000"/>
          <w:sz w:val="28"/>
        </w:rPr>
        <w:t xml:space="preserve"> и исключаемой позиции </w:t>
      </w:r>
      <w:r>
        <w:rPr>
          <w:rFonts w:ascii="Times New Roman"/>
          <w:b w:val="false"/>
          <w:i/>
          <w:color w:val="000000"/>
          <w:sz w:val="28"/>
        </w:rPr>
        <w:t>y</w:t>
      </w:r>
      <w:r>
        <w:rPr>
          <w:rFonts w:ascii="Times New Roman"/>
          <w:b w:val="false"/>
          <w:i w:val="false"/>
          <w:color w:val="000000"/>
          <w:sz w:val="28"/>
        </w:rPr>
        <w:t xml:space="preserve"> в отчетном периоде </w:t>
      </w:r>
      <w:r>
        <w:rPr>
          <w:rFonts w:ascii="Times New Roman"/>
          <w:b w:val="false"/>
          <w:i/>
          <w:color w:val="000000"/>
          <w:sz w:val="28"/>
        </w:rPr>
        <w:t>t</w:t>
      </w:r>
      <w:r>
        <w:rPr>
          <w:rFonts w:ascii="Times New Roman"/>
          <w:b w:val="false"/>
          <w:i w:val="false"/>
          <w:color w:val="000000"/>
          <w:sz w:val="28"/>
        </w:rPr>
        <w:t>;</w:t>
      </w:r>
    </w:p>
    <w:p>
      <w:pPr>
        <w:spacing w:after="0"/>
        <w:ind w:left="0"/>
        <w:jc w:val="both"/>
      </w:pPr>
      <w:r>
        <w:rPr>
          <w:rFonts w:ascii="Times New Roman"/>
          <w:b w:val="false"/>
          <w:i w:val="false"/>
          <w:color w:val="000000"/>
          <w:sz w:val="28"/>
        </w:rPr>
        <w:t xml:space="preserve">
      </w:t>
      </w:r>
      <w:r>
        <w:rPr>
          <w:rFonts w:ascii="Times New Roman"/>
          <w:b w:val="false"/>
          <w:i/>
          <w:color w:val="000000"/>
          <w:sz w:val="28"/>
        </w:rPr>
        <w:t>n</w:t>
      </w:r>
      <w:r>
        <w:rPr>
          <w:rFonts w:ascii="Times New Roman"/>
          <w:b w:val="false"/>
          <w:i w:val="false"/>
          <w:color w:val="000000"/>
          <w:sz w:val="28"/>
        </w:rPr>
        <w:t xml:space="preserve"> – общее число позиций потребительского набора;</w:t>
      </w:r>
    </w:p>
    <w:p>
      <w:pPr>
        <w:spacing w:after="0"/>
        <w:ind w:left="0"/>
        <w:jc w:val="both"/>
      </w:pPr>
      <w:r>
        <w:rPr>
          <w:rFonts w:ascii="Times New Roman"/>
          <w:b w:val="false"/>
          <w:i w:val="false"/>
          <w:color w:val="000000"/>
          <w:sz w:val="28"/>
        </w:rPr>
        <w:t>
      3) в целях достижения точности расчета БИПЦ без учета трех и семи составляющих после исключения из общего набора "не базовых" компонентов по оставшимся позициям осуществляется процедура нормализации базисных весов.</w:t>
      </w:r>
    </w:p>
    <w:p>
      <w:pPr>
        <w:spacing w:after="0"/>
        <w:ind w:left="0"/>
        <w:jc w:val="both"/>
      </w:pPr>
      <w:r>
        <w:rPr>
          <w:rFonts w:ascii="Times New Roman"/>
          <w:b w:val="false"/>
          <w:i w:val="false"/>
          <w:color w:val="000000"/>
          <w:sz w:val="28"/>
        </w:rPr>
        <w:t>
      Для этого находится коэффициент нормализации, определяемый как результат отношения общей суммы весов к сумме оставшихся весовых составляющих:</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2705100" cy="698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2"/>
                    <a:stretch>
                      <a:fillRect/>
                    </a:stretch>
                  </pic:blipFill>
                  <pic:spPr>
                    <a:xfrm>
                      <a:off x="0" y="0"/>
                      <a:ext cx="2705100" cy="698500"/>
                    </a:xfrm>
                    <a:prstGeom prst="rect">
                      <a:avLst/>
                    </a:prstGeom>
                  </pic:spPr>
                </pic:pic>
              </a:graphicData>
            </a:graphic>
          </wp:inline>
        </w:drawing>
      </w:r>
    </w:p>
    <w:p>
      <w:pPr>
        <w:spacing w:after="0"/>
        <w:ind w:left="0"/>
        <w:jc w:val="left"/>
      </w:pPr>
      <w:r>
        <w:rPr>
          <w:rFonts w:ascii="Times New Roman"/>
          <w:b w:val="false"/>
          <w:i w:val="false"/>
          <w:color w:val="000000"/>
          <w:sz w:val="28"/>
        </w:rPr>
        <w:t xml:space="preserve">или </w:t>
      </w:r>
    </w:p>
    <w:p>
      <w:pPr>
        <w:spacing w:after="0"/>
        <w:ind w:left="0"/>
        <w:jc w:val="both"/>
      </w:pPr>
      <w:r>
        <w:drawing>
          <wp:inline distT="0" distB="0" distL="0" distR="0">
            <wp:extent cx="2095500" cy="7620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3"/>
                    <a:stretch>
                      <a:fillRect/>
                    </a:stretch>
                  </pic:blipFill>
                  <pic:spPr>
                    <a:xfrm>
                      <a:off x="0" y="0"/>
                      <a:ext cx="2095500" cy="762000"/>
                    </a:xfrm>
                    <a:prstGeom prst="rect">
                      <a:avLst/>
                    </a:prstGeom>
                  </pic:spPr>
                </pic:pic>
              </a:graphicData>
            </a:graphic>
          </wp:inline>
        </w:drawing>
      </w:r>
    </w:p>
    <w:p>
      <w:pPr>
        <w:spacing w:after="0"/>
        <w:ind w:left="0"/>
        <w:jc w:val="left"/>
      </w:pPr>
      <w:r>
        <w:rPr>
          <w:rFonts w:ascii="Times New Roman"/>
          <w:b w:val="false"/>
          <w:i w:val="false"/>
          <w:color w:val="000000"/>
          <w:sz w:val="28"/>
        </w:rPr>
        <w:t>,      (8)</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xml:space="preserve">
      </w:t>
      </w:r>
      <w:r>
        <w:rPr>
          <w:rFonts w:ascii="Times New Roman"/>
          <w:b w:val="false"/>
          <w:i/>
          <w:color w:val="000000"/>
          <w:sz w:val="28"/>
        </w:rPr>
        <w:t>K</w:t>
      </w:r>
      <w:r>
        <w:rPr>
          <w:rFonts w:ascii="Times New Roman"/>
          <w:b w:val="false"/>
          <w:i w:val="false"/>
          <w:color w:val="000000"/>
          <w:vertAlign w:val="subscript"/>
        </w:rPr>
        <w:t>N</w:t>
      </w:r>
      <w:r>
        <w:rPr>
          <w:rFonts w:ascii="Times New Roman"/>
          <w:b w:val="false"/>
          <w:i w:val="false"/>
          <w:color w:val="000000"/>
          <w:sz w:val="28"/>
        </w:rPr>
        <w:t xml:space="preserve"> – коэффициент нормализации;</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673100" cy="4064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4"/>
                    <a:stretch>
                      <a:fillRect/>
                    </a:stretch>
                  </pic:blipFill>
                  <pic:spPr>
                    <a:xfrm>
                      <a:off x="0" y="0"/>
                      <a:ext cx="673100" cy="4064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результат отношения общей суммы весов;</w:t>
      </w:r>
      <w:r>
        <w:br/>
      </w:r>
      <w:r>
        <w:rPr>
          <w:rFonts w:ascii="Times New Roman"/>
          <w:b w:val="false"/>
          <w:i w:val="false"/>
          <w:color w:val="000000"/>
          <w:sz w:val="28"/>
        </w:rPr>
        <w:t>
</w:t>
      </w:r>
      <w:r>
        <w:br/>
      </w:r>
    </w:p>
    <w:p>
      <w:pPr>
        <w:spacing w:after="0"/>
        <w:ind w:left="0"/>
        <w:jc w:val="both"/>
      </w:pPr>
      <w:r>
        <w:drawing>
          <wp:inline distT="0" distB="0" distL="0" distR="0">
            <wp:extent cx="1092200" cy="482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5"/>
                    <a:stretch>
                      <a:fillRect/>
                    </a:stretch>
                  </pic:blipFill>
                  <pic:spPr>
                    <a:xfrm>
                      <a:off x="0" y="0"/>
                      <a:ext cx="1092200" cy="482600"/>
                    </a:xfrm>
                    <a:prstGeom prst="rect">
                      <a:avLst/>
                    </a:prstGeom>
                  </pic:spPr>
                </pic:pic>
              </a:graphicData>
            </a:graphic>
          </wp:inline>
        </w:drawing>
      </w:r>
    </w:p>
    <w:p>
      <w:pPr>
        <w:spacing w:after="0"/>
        <w:ind w:left="0"/>
        <w:jc w:val="left"/>
      </w:pPr>
      <w:r>
        <w:rPr>
          <w:rFonts w:ascii="Times New Roman"/>
          <w:b w:val="false"/>
          <w:i w:val="false"/>
          <w:color w:val="000000"/>
          <w:sz w:val="28"/>
        </w:rPr>
        <w:t xml:space="preserve"> – весовые составляющие.</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Процедура нормализации осуществляется, как сумма компонентов при включении в показатель БИПЦ и составляет единицу или 100 процентов.</w:t>
      </w:r>
    </w:p>
    <w:p>
      <w:pPr>
        <w:spacing w:after="0"/>
        <w:ind w:left="0"/>
        <w:jc w:val="both"/>
      </w:pPr>
      <w:r>
        <w:rPr>
          <w:rFonts w:ascii="Times New Roman"/>
          <w:b w:val="false"/>
          <w:i w:val="false"/>
          <w:color w:val="000000"/>
          <w:sz w:val="28"/>
        </w:rPr>
        <w:t>
      4) в результате каждому товару (услуге)-представителю, изменение цен (тарифов) на которые участвуют в расчетах БИПЦ, придается дополнительный вес.</w:t>
      </w:r>
    </w:p>
    <w:p>
      <w:pPr>
        <w:spacing w:after="0"/>
        <w:ind w:left="0"/>
        <w:jc w:val="both"/>
      </w:pPr>
      <w:r>
        <w:rPr>
          <w:rFonts w:ascii="Times New Roman"/>
          <w:b w:val="false"/>
          <w:i w:val="false"/>
          <w:color w:val="000000"/>
          <w:sz w:val="28"/>
        </w:rPr>
        <w:t>
      Нормализированный удельный вес находится путем умножения базисного веса на полученный коэффициент нормализации:</w:t>
      </w:r>
    </w:p>
    <w:p>
      <w:pPr>
        <w:spacing w:after="0"/>
        <w:ind w:left="0"/>
        <w:jc w:val="left"/>
      </w:pPr>
      <w:r>
        <w:rPr>
          <w:rFonts w:ascii="Times New Roman"/>
          <w:b w:val="false"/>
          <w:i w:val="false"/>
          <w:color w:val="000000"/>
          <w:sz w:val="28"/>
        </w:rPr>
        <w:t>
</w:t>
      </w:r>
      <w:r>
        <w:br/>
      </w:r>
    </w:p>
    <w:p>
      <w:pPr>
        <w:spacing w:after="0"/>
        <w:ind w:left="0"/>
        <w:jc w:val="both"/>
      </w:pPr>
      <w:r>
        <w:drawing>
          <wp:inline distT="0" distB="0" distL="0" distR="0">
            <wp:extent cx="1689100" cy="444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26"/>
                    <a:stretch>
                      <a:fillRect/>
                    </a:stretch>
                  </pic:blipFill>
                  <pic:spPr>
                    <a:xfrm>
                      <a:off x="0" y="0"/>
                      <a:ext cx="1689100" cy="444500"/>
                    </a:xfrm>
                    <a:prstGeom prst="rect">
                      <a:avLst/>
                    </a:prstGeom>
                  </pic:spPr>
                </pic:pic>
              </a:graphicData>
            </a:graphic>
          </wp:inline>
        </w:drawing>
      </w:r>
    </w:p>
    <w:p>
      <w:pPr>
        <w:spacing w:after="0"/>
        <w:ind w:left="0"/>
        <w:jc w:val="left"/>
      </w:pPr>
      <w:r>
        <w:rPr>
          <w:rFonts w:ascii="Times New Roman"/>
          <w:b w:val="false"/>
          <w:i w:val="false"/>
          <w:color w:val="000000"/>
          <w:sz w:val="28"/>
        </w:rPr>
        <w:t>,      (9)</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где:</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Nj</w:t>
      </w:r>
      <w:r>
        <w:rPr>
          <w:rFonts w:ascii="Times New Roman"/>
          <w:b w:val="false"/>
          <w:i w:val="false"/>
          <w:color w:val="000000"/>
          <w:sz w:val="28"/>
        </w:rPr>
        <w:t xml:space="preserve"> – нормализованный вес;</w:t>
      </w:r>
    </w:p>
    <w:p>
      <w:pPr>
        <w:spacing w:after="0"/>
        <w:ind w:left="0"/>
        <w:jc w:val="both"/>
      </w:pPr>
      <w:r>
        <w:rPr>
          <w:rFonts w:ascii="Times New Roman"/>
          <w:b w:val="false"/>
          <w:i w:val="false"/>
          <w:color w:val="000000"/>
          <w:sz w:val="28"/>
        </w:rPr>
        <w:t xml:space="preserve">
      </w:t>
      </w:r>
      <w:r>
        <w:rPr>
          <w:rFonts w:ascii="Times New Roman"/>
          <w:b w:val="false"/>
          <w:i/>
          <w:color w:val="000000"/>
          <w:sz w:val="28"/>
        </w:rPr>
        <w:t>w</w:t>
      </w:r>
      <w:r>
        <w:rPr>
          <w:rFonts w:ascii="Times New Roman"/>
          <w:b w:val="false"/>
          <w:i w:val="false"/>
          <w:color w:val="000000"/>
          <w:vertAlign w:val="subscript"/>
        </w:rPr>
        <w:t>0j</w:t>
      </w:r>
      <w:r>
        <w:rPr>
          <w:rFonts w:ascii="Times New Roman"/>
          <w:b w:val="false"/>
          <w:i w:val="false"/>
          <w:color w:val="000000"/>
          <w:sz w:val="28"/>
        </w:rPr>
        <w:t xml:space="preserve"> – базисный вес;</w:t>
      </w:r>
    </w:p>
    <w:p>
      <w:pPr>
        <w:spacing w:after="0"/>
        <w:ind w:left="0"/>
        <w:jc w:val="both"/>
      </w:pPr>
      <w:r>
        <w:rPr>
          <w:rFonts w:ascii="Times New Roman"/>
          <w:b w:val="false"/>
          <w:i w:val="false"/>
          <w:color w:val="000000"/>
          <w:sz w:val="28"/>
        </w:rPr>
        <w:t xml:space="preserve">
      </w:t>
      </w:r>
      <w:r>
        <w:rPr>
          <w:rFonts w:ascii="Times New Roman"/>
          <w:b w:val="false"/>
          <w:i/>
          <w:color w:val="000000"/>
          <w:sz w:val="28"/>
        </w:rPr>
        <w:t>K</w:t>
      </w:r>
      <w:r>
        <w:rPr>
          <w:rFonts w:ascii="Times New Roman"/>
          <w:b w:val="false"/>
          <w:i w:val="false"/>
          <w:color w:val="000000"/>
          <w:vertAlign w:val="subscript"/>
        </w:rPr>
        <w:t>N</w:t>
      </w:r>
      <w:r>
        <w:rPr>
          <w:rFonts w:ascii="Times New Roman"/>
          <w:b w:val="false"/>
          <w:i w:val="false"/>
          <w:color w:val="000000"/>
          <w:sz w:val="28"/>
        </w:rPr>
        <w:t xml:space="preserve"> – коэффициент нормализации.</w:t>
      </w:r>
    </w:p>
    <w:p>
      <w:pPr>
        <w:spacing w:after="0"/>
        <w:ind w:left="0"/>
        <w:jc w:val="both"/>
      </w:pPr>
      <w:r>
        <w:rPr>
          <w:rFonts w:ascii="Times New Roman"/>
          <w:b w:val="false"/>
          <w:i w:val="false"/>
          <w:color w:val="000000"/>
          <w:sz w:val="28"/>
        </w:rPr>
        <w:t>
      5) с учетом нормализированного веса по оставшимся позициям заново пересчитывается агрегированный индекс БИПЦ.</w:t>
      </w:r>
    </w:p>
    <w:p>
      <w:pPr>
        <w:spacing w:after="0"/>
        <w:ind w:left="0"/>
        <w:jc w:val="both"/>
      </w:pPr>
      <w:r>
        <w:rPr>
          <w:rFonts w:ascii="Times New Roman"/>
          <w:b w:val="false"/>
          <w:i w:val="false"/>
          <w:color w:val="000000"/>
          <w:sz w:val="28"/>
        </w:rPr>
        <w:t xml:space="preserve">
      Расчет БИПЦ без учета изменений цен на свежие фрукты и овощи, бензин и уголь приведен в </w:t>
      </w:r>
      <w:r>
        <w:rPr>
          <w:rFonts w:ascii="Times New Roman"/>
          <w:b w:val="false"/>
          <w:i w:val="false"/>
          <w:color w:val="000000"/>
          <w:sz w:val="28"/>
        </w:rPr>
        <w:t>приложении</w:t>
      </w:r>
      <w:r>
        <w:rPr>
          <w:rFonts w:ascii="Times New Roman"/>
          <w:b w:val="false"/>
          <w:i w:val="false"/>
          <w:color w:val="000000"/>
          <w:sz w:val="28"/>
        </w:rPr>
        <w:t xml:space="preserve"> к настоящей Методике..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15 с изменением, внесенным приказом Руководителя Бюро национальной статистики Агентства по стратегическому планированию и реформам РК от 23.04.2025 </w:t>
      </w:r>
      <w:r>
        <w:rPr>
          <w:rFonts w:ascii="Times New Roman"/>
          <w:b w:val="false"/>
          <w:i w:val="false"/>
          <w:color w:val="000000"/>
          <w:sz w:val="28"/>
        </w:rPr>
        <w:t>№ 9</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7" w:id="22"/>
    <w:p>
      <w:pPr>
        <w:spacing w:after="0"/>
        <w:ind w:left="0"/>
        <w:jc w:val="left"/>
      </w:pPr>
      <w:r>
        <w:rPr>
          <w:rFonts w:ascii="Times New Roman"/>
          <w:b/>
          <w:i w:val="false"/>
          <w:color w:val="000000"/>
        </w:rPr>
        <w:t xml:space="preserve"> Глава 5. Расчет БИПЦ путем исключения товаров и услуг по</w:t>
      </w:r>
      <w:r>
        <w:br/>
      </w:r>
      <w:r>
        <w:rPr>
          <w:rFonts w:ascii="Times New Roman"/>
          <w:b/>
          <w:i w:val="false"/>
          <w:color w:val="000000"/>
        </w:rPr>
        <w:t>степени изменений цен и их весовых составляющих</w:t>
      </w:r>
    </w:p>
    <w:bookmarkEnd w:id="22"/>
    <w:p>
      <w:pPr>
        <w:spacing w:after="0"/>
        <w:ind w:left="0"/>
        <w:jc w:val="both"/>
      </w:pPr>
      <w:bookmarkStart w:name="z28" w:id="23"/>
      <w:r>
        <w:rPr>
          <w:rFonts w:ascii="Times New Roman"/>
          <w:b w:val="false"/>
          <w:i w:val="false"/>
          <w:color w:val="ff0000"/>
          <w:sz w:val="28"/>
        </w:rPr>
        <w:t xml:space="preserve">
      16. Исключен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ff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End w:id="23"/>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17. Исключен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00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 xml:space="preserve">18. Исключен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000000"/>
          <w:sz w:val="28"/>
        </w:rPr>
        <w:t>№ 13</w:t>
      </w:r>
      <w:r>
        <w:rPr>
          <w:rFonts w:ascii="Times New Roman"/>
          <w:b w:val="false"/>
          <w:i w:val="false"/>
          <w:color w:val="00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Методике расчета базового</w:t>
            </w:r>
            <w:r>
              <w:br/>
            </w:r>
            <w:r>
              <w:rPr>
                <w:rFonts w:ascii="Times New Roman"/>
                <w:b w:val="false"/>
                <w:i w:val="false"/>
                <w:color w:val="000000"/>
                <w:sz w:val="20"/>
              </w:rPr>
              <w:t>индекса потребительских цен</w:t>
            </w:r>
          </w:p>
        </w:tc>
      </w:tr>
    </w:tbl>
    <w:bookmarkStart w:name="z39" w:id="24"/>
    <w:p>
      <w:pPr>
        <w:spacing w:after="0"/>
        <w:ind w:left="0"/>
        <w:jc w:val="left"/>
      </w:pPr>
      <w:r>
        <w:rPr>
          <w:rFonts w:ascii="Times New Roman"/>
          <w:b/>
          <w:i w:val="false"/>
          <w:color w:val="000000"/>
        </w:rPr>
        <w:t xml:space="preserve"> Перечень товаров и услуг для расчета базового индекса потребительских цен без учета изменений цен по отдельным конкретным составляющим</w:t>
      </w:r>
    </w:p>
    <w:bookmarkEnd w:id="24"/>
    <w:p>
      <w:pPr>
        <w:spacing w:after="0"/>
        <w:ind w:left="0"/>
        <w:jc w:val="both"/>
      </w:pPr>
      <w:r>
        <w:rPr>
          <w:rFonts w:ascii="Times New Roman"/>
          <w:b w:val="false"/>
          <w:i w:val="false"/>
          <w:color w:val="ff0000"/>
          <w:sz w:val="28"/>
        </w:rPr>
        <w:t xml:space="preserve">
      Сноска. Приложение 1 исключено приказом Руководителя Бюро национальной статистики Агентства по стратегическому планированию и реформам РК от 23.04.2025 </w:t>
      </w:r>
      <w:r>
        <w:rPr>
          <w:rFonts w:ascii="Times New Roman"/>
          <w:b w:val="false"/>
          <w:i w:val="false"/>
          <w:color w:val="ff0000"/>
          <w:sz w:val="28"/>
        </w:rPr>
        <w:t>№ 9</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w:t>
            </w:r>
            <w:r>
              <w:br/>
            </w:r>
            <w:r>
              <w:rPr>
                <w:rFonts w:ascii="Times New Roman"/>
                <w:b w:val="false"/>
                <w:i w:val="false"/>
                <w:color w:val="000000"/>
                <w:sz w:val="20"/>
              </w:rPr>
              <w:t>к Методике расчета базового</w:t>
            </w:r>
            <w:r>
              <w:br/>
            </w:r>
            <w:r>
              <w:rPr>
                <w:rFonts w:ascii="Times New Roman"/>
                <w:b w:val="false"/>
                <w:i w:val="false"/>
                <w:color w:val="000000"/>
                <w:sz w:val="20"/>
              </w:rPr>
              <w:t>индекса потребительских цен</w:t>
            </w:r>
          </w:p>
        </w:tc>
      </w:tr>
    </w:tbl>
    <w:bookmarkStart w:name="z40" w:id="25"/>
    <w:p>
      <w:pPr>
        <w:spacing w:after="0"/>
        <w:ind w:left="0"/>
        <w:jc w:val="left"/>
      </w:pPr>
      <w:r>
        <w:rPr>
          <w:rFonts w:ascii="Times New Roman"/>
          <w:b/>
          <w:i w:val="false"/>
          <w:color w:val="000000"/>
        </w:rPr>
        <w:t xml:space="preserve"> Пример расчета базового индекса потребительских цен без учета изменений цен на свежие фрукты и овощи, бензин и уголь</w:t>
      </w:r>
    </w:p>
    <w:bookmarkEnd w:id="25"/>
    <w:p>
      <w:pPr>
        <w:spacing w:after="0"/>
        <w:ind w:left="0"/>
        <w:jc w:val="both"/>
      </w:pPr>
      <w:r>
        <w:rPr>
          <w:rFonts w:ascii="Times New Roman"/>
          <w:b w:val="false"/>
          <w:i w:val="false"/>
          <w:color w:val="ff0000"/>
          <w:sz w:val="28"/>
        </w:rPr>
        <w:t xml:space="preserve">
      Сноска. Приложение 2 - в редакции приказа Руководителя Бюро национальной статистики Агентства по стратегическому планированию и реформам РК от 23.04.2025 </w:t>
      </w:r>
      <w:r>
        <w:rPr>
          <w:rFonts w:ascii="Times New Roman"/>
          <w:b w:val="false"/>
          <w:i w:val="false"/>
          <w:color w:val="ff0000"/>
          <w:sz w:val="28"/>
        </w:rPr>
        <w:t>№ 9</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1537"/>
        <w:gridCol w:w="1537"/>
        <w:gridCol w:w="1537"/>
        <w:gridCol w:w="1537"/>
        <w:gridCol w:w="1538"/>
        <w:gridCol w:w="1538"/>
        <w:gridCol w:w="1538"/>
        <w:gridCol w:w="1538"/>
      </w:tblGrid>
      <w:tr>
        <w:trPr>
          <w:trHeight w:val="30" w:hRule="atLeast"/>
        </w:trPr>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Вес</w:t>
            </w:r>
          </w:p>
        </w:tc>
        <w:tc>
          <w:tcPr>
            <w:tcW w:w="1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Ценовая относительная к декабрю базового года (за предыдущий месяц)</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Ценовая относительная отчетного месяца к</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Структурная ценовая относительная к декабрю базового года</w:t>
            </w:r>
          </w:p>
        </w:tc>
      </w:tr>
      <w:tr>
        <w:trPr>
          <w:trHeight w:val="30" w:hRule="atLeast"/>
        </w:trPr>
        <w:tc>
          <w:tcPr>
            <w:tcW w:w="0" w:type="auto"/>
            <w:vMerge/>
            <w:tcBorders>
              <w:top w:val="nil"/>
              <w:left w:val="single" w:color="cfcfcf" w:sz="5"/>
              <w:bottom w:val="single" w:color="cfcfcf" w:sz="5"/>
              <w:right w:val="single" w:color="cfcfcf" w:sz="5"/>
            </w:tcBorders>
          </w:tc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индексу потребительских цен без трех составляющих</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нормализованный</w:t>
            </w:r>
          </w:p>
        </w:tc>
        <w:tc>
          <w:tcPr>
            <w:tcW w:w="0" w:type="auto"/>
            <w:vMerge/>
            <w:tcBorders>
              <w:top w:val="nil"/>
              <w:left w:val="single" w:color="cfcfcf" w:sz="5"/>
              <w:bottom w:val="single" w:color="cfcfcf" w:sz="5"/>
              <w:right w:val="single" w:color="cfcfcf" w:sz="5"/>
            </w:tcBorders>
          </w:tc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предыдущему месяцу</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декабрю базового года</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отчетного месяца</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предыдущего месяца</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4=6/7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5=3*4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6=2*5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7=2*3</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Базовый индекс потребительских цен</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p>
          <w:p>
            <w:pPr>
              <w:spacing w:after="20"/>
              <w:ind w:left="20"/>
              <w:jc w:val="both"/>
            </w:pP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Товары и услуги</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0,93565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1,563421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1,008753</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1,577106</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1,57710621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1,56342102</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Мука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0,00911</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0,00974</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1,514634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1,039968</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1,575171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0,01534217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0,01475254</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Мука пшеничная высшего сорта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0,00365</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0,00390</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1,591084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1,037838</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1,651287</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0,00644002</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0,00620523</w:t>
            </w:r>
          </w:p>
        </w:tc>
      </w:tr>
      <w:tr>
        <w:trPr>
          <w:trHeight w:val="30" w:hRule="atLeast"/>
        </w:trPr>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Мука пшеничная первого сорта</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0,00546</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0,00584</w:t>
            </w:r>
          </w:p>
        </w:tc>
        <w:tc>
          <w:tcPr>
            <w:tcW w:w="1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1,463581</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1,041514</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1,524340</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0,00890215</w:t>
            </w:r>
          </w:p>
        </w:tc>
        <w:tc>
          <w:tcPr>
            <w:tcW w:w="15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0,00854731</w:t>
            </w:r>
          </w:p>
        </w:tc>
      </w:tr>
    </w:tbl>
    <w:bookmarkStart w:name="z41" w:id="26"/>
    <w:p>
      <w:pPr>
        <w:spacing w:after="0"/>
        <w:ind w:left="0"/>
        <w:jc w:val="both"/>
      </w:pPr>
      <w:r>
        <w:rPr>
          <w:rFonts w:ascii="Times New Roman"/>
          <w:b w:val="false"/>
          <w:i w:val="false"/>
          <w:color w:val="000000"/>
          <w:sz w:val="28"/>
        </w:rPr>
        <w:t>
      Порядок расчета базового индекса потребительских цен без учета трех составляющих:</w:t>
      </w:r>
    </w:p>
    <w:bookmarkEnd w:id="26"/>
    <w:bookmarkStart w:name="z42" w:id="27"/>
    <w:p>
      <w:pPr>
        <w:spacing w:after="0"/>
        <w:ind w:left="0"/>
        <w:jc w:val="both"/>
      </w:pPr>
      <w:r>
        <w:rPr>
          <w:rFonts w:ascii="Times New Roman"/>
          <w:b w:val="false"/>
          <w:i w:val="false"/>
          <w:color w:val="000000"/>
          <w:sz w:val="28"/>
        </w:rPr>
        <w:t>
      1) при исключении свежих фруктов и овощей, бензина, угля их удельный вес и ценовые изменения условно принимается равные нулю;</w:t>
      </w:r>
    </w:p>
    <w:bookmarkEnd w:id="27"/>
    <w:bookmarkStart w:name="z43" w:id="28"/>
    <w:p>
      <w:pPr>
        <w:spacing w:after="0"/>
        <w:ind w:left="0"/>
        <w:jc w:val="both"/>
      </w:pPr>
      <w:r>
        <w:rPr>
          <w:rFonts w:ascii="Times New Roman"/>
          <w:b w:val="false"/>
          <w:i w:val="false"/>
          <w:color w:val="000000"/>
          <w:sz w:val="28"/>
        </w:rPr>
        <w:t xml:space="preserve">
      2) после исключения вышеназванных позиций суммарный вес оставшихся товаров и услуг равен 0,93565 ≠ 1,00000. Веса нормализуются с помощью коэффициент нормализации: </w:t>
      </w:r>
    </w:p>
    <w:bookmarkEnd w:id="28"/>
    <w:bookmarkStart w:name="z44" w:id="29"/>
    <w:p>
      <w:pPr>
        <w:spacing w:after="0"/>
        <w:ind w:left="0"/>
        <w:jc w:val="both"/>
      </w:pPr>
      <w:r>
        <w:rPr>
          <w:rFonts w:ascii="Times New Roman"/>
          <w:b w:val="false"/>
          <w:i w:val="false"/>
          <w:color w:val="000000"/>
          <w:sz w:val="28"/>
        </w:rPr>
        <w:t>
      kN = 1 / 0,93565.</w:t>
      </w:r>
    </w:p>
    <w:bookmarkEnd w:id="29"/>
    <w:bookmarkStart w:name="z45" w:id="30"/>
    <w:p>
      <w:pPr>
        <w:spacing w:after="0"/>
        <w:ind w:left="0"/>
        <w:jc w:val="both"/>
      </w:pPr>
      <w:r>
        <w:rPr>
          <w:rFonts w:ascii="Times New Roman"/>
          <w:b w:val="false"/>
          <w:i w:val="false"/>
          <w:color w:val="000000"/>
          <w:sz w:val="28"/>
        </w:rPr>
        <w:t>
      С учетом его нормализованный вес (графа 2) по позиции:</w:t>
      </w:r>
    </w:p>
    <w:bookmarkEnd w:id="3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Layout w:type="fixed"/>
      </w:tblPr>
      <w:tblGrid>
        <w:gridCol w:w="6150"/>
        <w:gridCol w:w="6150"/>
      </w:tblGrid>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мука высшего сорта</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0,00365 * 1/0,93565 = 0,00390</w:t>
            </w:r>
          </w:p>
        </w:tc>
      </w:tr>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мука первого сорта</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0,00546 * 1/0,93565 = 0,00584</w:t>
            </w:r>
          </w:p>
        </w:tc>
      </w:tr>
      <w:tr>
        <w:trPr>
          <w:trHeight w:val="30" w:hRule="atLeast"/>
        </w:trPr>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группе мука</w:t>
            </w:r>
          </w:p>
        </w:tc>
        <w:tc>
          <w:tcPr>
            <w:tcW w:w="6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0,00390 + 0,00584 = 0,00911</w:t>
            </w:r>
          </w:p>
        </w:tc>
      </w:tr>
    </w:tbl>
    <w:bookmarkStart w:name="z46" w:id="31"/>
    <w:p>
      <w:pPr>
        <w:spacing w:after="0"/>
        <w:ind w:left="0"/>
        <w:jc w:val="both"/>
      </w:pPr>
      <w:r>
        <w:rPr>
          <w:rFonts w:ascii="Times New Roman"/>
          <w:b w:val="false"/>
          <w:i w:val="false"/>
          <w:color w:val="000000"/>
          <w:sz w:val="28"/>
        </w:rPr>
        <w:t>
      3) данные по долгосрочной ценовой относительной за предыдущий месяц (графа 3) переносятся из расчета индекса потребительских цен. Для определения, как в соответствующем расчете индекса потребительских цен, краткосрочной ценовой относительной (графа 4 и 5) с учетом нормализованного веса рассчитываются:</w:t>
      </w:r>
    </w:p>
    <w:bookmarkEnd w:id="31"/>
    <w:bookmarkStart w:name="z47" w:id="32"/>
    <w:p>
      <w:pPr>
        <w:spacing w:after="0"/>
        <w:ind w:left="0"/>
        <w:jc w:val="both"/>
      </w:pPr>
      <w:r>
        <w:rPr>
          <w:rFonts w:ascii="Times New Roman"/>
          <w:b w:val="false"/>
          <w:i w:val="false"/>
          <w:color w:val="000000"/>
          <w:sz w:val="28"/>
        </w:rPr>
        <w:t>
      а) структурная ценовая относительная предыдущего месяца к декабрю базового года (графа 7) по позиционным строкам: графа 7 = графа 2 * графа 3:</w:t>
      </w:r>
    </w:p>
    <w:bookmarkEnd w:id="32"/>
    <w:bookmarkStart w:name="z48" w:id="33"/>
    <w:p>
      <w:pPr>
        <w:spacing w:after="0"/>
        <w:ind w:left="0"/>
        <w:jc w:val="both"/>
      </w:pPr>
      <w:r>
        <w:rPr>
          <w:rFonts w:ascii="Times New Roman"/>
          <w:b w:val="false"/>
          <w:i w:val="false"/>
          <w:color w:val="000000"/>
          <w:sz w:val="28"/>
        </w:rPr>
        <w:t>
      по муке высшего сорта 0,00390 * 1,591084 = 0,00620523; </w:t>
      </w:r>
    </w:p>
    <w:bookmarkEnd w:id="33"/>
    <w:bookmarkStart w:name="z49" w:id="34"/>
    <w:p>
      <w:pPr>
        <w:spacing w:after="0"/>
        <w:ind w:left="0"/>
        <w:jc w:val="both"/>
      </w:pPr>
      <w:r>
        <w:rPr>
          <w:rFonts w:ascii="Times New Roman"/>
          <w:b w:val="false"/>
          <w:i w:val="false"/>
          <w:color w:val="000000"/>
          <w:sz w:val="28"/>
        </w:rPr>
        <w:t>
      по муке первого сорта 0,00584 * 1,463581 = 0,00854731.</w:t>
      </w:r>
    </w:p>
    <w:bookmarkEnd w:id="34"/>
    <w:bookmarkStart w:name="z50" w:id="35"/>
    <w:p>
      <w:pPr>
        <w:spacing w:after="0"/>
        <w:ind w:left="0"/>
        <w:jc w:val="both"/>
      </w:pPr>
      <w:r>
        <w:rPr>
          <w:rFonts w:ascii="Times New Roman"/>
          <w:b w:val="false"/>
          <w:i w:val="false"/>
          <w:color w:val="000000"/>
          <w:sz w:val="28"/>
        </w:rPr>
        <w:t>
      б) структурная ценовая относительная отчетного месяца к декабрю базового года (графа 6) по позиционным строкам: графа 6 = графа 2 * графа 5:</w:t>
      </w:r>
    </w:p>
    <w:bookmarkEnd w:id="35"/>
    <w:bookmarkStart w:name="z51" w:id="36"/>
    <w:p>
      <w:pPr>
        <w:spacing w:after="0"/>
        <w:ind w:left="0"/>
        <w:jc w:val="both"/>
      </w:pPr>
      <w:r>
        <w:rPr>
          <w:rFonts w:ascii="Times New Roman"/>
          <w:b w:val="false"/>
          <w:i w:val="false"/>
          <w:color w:val="000000"/>
          <w:sz w:val="28"/>
        </w:rPr>
        <w:t>
      по муке высшего сорта 0,00390 * 1,651287 = 0,00644002;</w:t>
      </w:r>
    </w:p>
    <w:bookmarkEnd w:id="36"/>
    <w:bookmarkStart w:name="z52" w:id="37"/>
    <w:p>
      <w:pPr>
        <w:spacing w:after="0"/>
        <w:ind w:left="0"/>
        <w:jc w:val="both"/>
      </w:pPr>
      <w:r>
        <w:rPr>
          <w:rFonts w:ascii="Times New Roman"/>
          <w:b w:val="false"/>
          <w:i w:val="false"/>
          <w:color w:val="000000"/>
          <w:sz w:val="28"/>
        </w:rPr>
        <w:t>
      по муке первого сорта 0,00584 * 1,524340 = 0,00890215.</w:t>
      </w:r>
    </w:p>
    <w:bookmarkEnd w:id="37"/>
    <w:bookmarkStart w:name="z53" w:id="38"/>
    <w:p>
      <w:pPr>
        <w:spacing w:after="0"/>
        <w:ind w:left="0"/>
        <w:jc w:val="both"/>
      </w:pPr>
      <w:r>
        <w:rPr>
          <w:rFonts w:ascii="Times New Roman"/>
          <w:b w:val="false"/>
          <w:i w:val="false"/>
          <w:color w:val="000000"/>
          <w:sz w:val="28"/>
        </w:rPr>
        <w:t>
      в) структурные ценовые относительные по видам подкласса, подклассу, классу, группе, разделу определяются последовательно путем суммирования входящих в них составляющих.</w:t>
      </w:r>
    </w:p>
    <w:bookmarkEnd w:id="38"/>
    <w:bookmarkStart w:name="z54" w:id="39"/>
    <w:p>
      <w:pPr>
        <w:spacing w:after="0"/>
        <w:ind w:left="0"/>
        <w:jc w:val="both"/>
      </w:pPr>
      <w:r>
        <w:rPr>
          <w:rFonts w:ascii="Times New Roman"/>
          <w:b w:val="false"/>
          <w:i w:val="false"/>
          <w:color w:val="000000"/>
          <w:sz w:val="28"/>
        </w:rPr>
        <w:t>
      Например, структурные ценовые относительные (графы 6 и 7) по части подкласса (5 уровень) рассчитываются как сумма входящих в нее позиционных строк (6 уровень).</w:t>
      </w:r>
    </w:p>
    <w:bookmarkEnd w:id="39"/>
    <w:bookmarkStart w:name="z55" w:id="40"/>
    <w:p>
      <w:pPr>
        <w:spacing w:after="0"/>
        <w:ind w:left="0"/>
        <w:jc w:val="both"/>
      </w:pPr>
      <w:r>
        <w:rPr>
          <w:rFonts w:ascii="Times New Roman"/>
          <w:b w:val="false"/>
          <w:i w:val="false"/>
          <w:color w:val="000000"/>
          <w:sz w:val="28"/>
        </w:rPr>
        <w:t>
      графа 6 по муке 0,00644002 + 0,00890215 = 0,01534217;</w:t>
      </w:r>
    </w:p>
    <w:bookmarkEnd w:id="40"/>
    <w:bookmarkStart w:name="z56" w:id="41"/>
    <w:p>
      <w:pPr>
        <w:spacing w:after="0"/>
        <w:ind w:left="0"/>
        <w:jc w:val="both"/>
      </w:pPr>
      <w:r>
        <w:rPr>
          <w:rFonts w:ascii="Times New Roman"/>
          <w:b w:val="false"/>
          <w:i w:val="false"/>
          <w:color w:val="000000"/>
          <w:sz w:val="28"/>
        </w:rPr>
        <w:t>
      графа 7 по муке 0,00620523 + 0,00854731 = 0,01475254.</w:t>
      </w:r>
    </w:p>
    <w:bookmarkEnd w:id="41"/>
    <w:bookmarkStart w:name="z57" w:id="42"/>
    <w:p>
      <w:pPr>
        <w:spacing w:after="0"/>
        <w:ind w:left="0"/>
        <w:jc w:val="both"/>
      </w:pPr>
      <w:r>
        <w:rPr>
          <w:rFonts w:ascii="Times New Roman"/>
          <w:b w:val="false"/>
          <w:i w:val="false"/>
          <w:color w:val="000000"/>
          <w:sz w:val="28"/>
        </w:rPr>
        <w:t>
      4) ценовая относительная по групповым строкам рассчитывается делением структурных долгосрочных к декабрю базового года.</w:t>
      </w:r>
    </w:p>
    <w:bookmarkEnd w:id="42"/>
    <w:bookmarkStart w:name="z58" w:id="43"/>
    <w:p>
      <w:pPr>
        <w:spacing w:after="0"/>
        <w:ind w:left="0"/>
        <w:jc w:val="both"/>
      </w:pPr>
      <w:r>
        <w:rPr>
          <w:rFonts w:ascii="Times New Roman"/>
          <w:b w:val="false"/>
          <w:i w:val="false"/>
          <w:color w:val="000000"/>
          <w:sz w:val="28"/>
        </w:rPr>
        <w:t>
      отчетного месяца к предыдущему месяцу графа 4 = графа 6 / графа 7:</w:t>
      </w:r>
    </w:p>
    <w:bookmarkEnd w:id="43"/>
    <w:bookmarkStart w:name="z59" w:id="44"/>
    <w:p>
      <w:pPr>
        <w:spacing w:after="0"/>
        <w:ind w:left="0"/>
        <w:jc w:val="both"/>
      </w:pPr>
      <w:r>
        <w:rPr>
          <w:rFonts w:ascii="Times New Roman"/>
          <w:b w:val="false"/>
          <w:i w:val="false"/>
          <w:color w:val="000000"/>
          <w:sz w:val="28"/>
        </w:rPr>
        <w:t>
      по муке 0,01534217 / 0,01475254 = 1,039968;</w:t>
      </w:r>
    </w:p>
    <w:bookmarkEnd w:id="44"/>
    <w:bookmarkStart w:name="z60" w:id="45"/>
    <w:p>
      <w:pPr>
        <w:spacing w:after="0"/>
        <w:ind w:left="0"/>
        <w:jc w:val="both"/>
      </w:pPr>
      <w:r>
        <w:rPr>
          <w:rFonts w:ascii="Times New Roman"/>
          <w:b w:val="false"/>
          <w:i w:val="false"/>
          <w:color w:val="000000"/>
          <w:sz w:val="28"/>
        </w:rPr>
        <w:t>
      к декабрю базового года – графа 5= графа 6 / графа 2:</w:t>
      </w:r>
    </w:p>
    <w:bookmarkEnd w:id="45"/>
    <w:bookmarkStart w:name="z61" w:id="46"/>
    <w:p>
      <w:pPr>
        <w:spacing w:after="0"/>
        <w:ind w:left="0"/>
        <w:jc w:val="both"/>
      </w:pPr>
      <w:r>
        <w:rPr>
          <w:rFonts w:ascii="Times New Roman"/>
          <w:b w:val="false"/>
          <w:i w:val="false"/>
          <w:color w:val="000000"/>
          <w:sz w:val="28"/>
        </w:rPr>
        <w:t>
      по муке 0,01534217 / 0,00974 = 1,575171.</w:t>
      </w:r>
    </w:p>
    <w:bookmarkEnd w:id="4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w:t>
            </w:r>
            <w:r>
              <w:br/>
            </w:r>
            <w:r>
              <w:rPr>
                <w:rFonts w:ascii="Times New Roman"/>
                <w:b w:val="false"/>
                <w:i w:val="false"/>
                <w:color w:val="000000"/>
                <w:sz w:val="20"/>
              </w:rPr>
              <w:t>к Методике расчета базового</w:t>
            </w:r>
            <w:r>
              <w:br/>
            </w:r>
            <w:r>
              <w:rPr>
                <w:rFonts w:ascii="Times New Roman"/>
                <w:b w:val="false"/>
                <w:i w:val="false"/>
                <w:color w:val="000000"/>
                <w:sz w:val="20"/>
              </w:rPr>
              <w:t>индекса потребительских цен</w:t>
            </w:r>
          </w:p>
        </w:tc>
      </w:tr>
    </w:tbl>
    <w:bookmarkStart w:name="z36" w:id="47"/>
    <w:p>
      <w:pPr>
        <w:spacing w:after="0"/>
        <w:ind w:left="0"/>
        <w:jc w:val="left"/>
      </w:pPr>
      <w:r>
        <w:rPr>
          <w:rFonts w:ascii="Times New Roman"/>
          <w:b/>
          <w:i w:val="false"/>
          <w:color w:val="000000"/>
        </w:rPr>
        <w:t xml:space="preserve"> Расчет базового индекса потребительских цен путем исключения</w:t>
      </w:r>
      <w:r>
        <w:br/>
      </w:r>
      <w:r>
        <w:rPr>
          <w:rFonts w:ascii="Times New Roman"/>
          <w:b/>
          <w:i w:val="false"/>
          <w:color w:val="000000"/>
        </w:rPr>
        <w:t>по пять позиций с максимальными и минимальными</w:t>
      </w:r>
      <w:r>
        <w:br/>
      </w:r>
      <w:r>
        <w:rPr>
          <w:rFonts w:ascii="Times New Roman"/>
          <w:b/>
          <w:i w:val="false"/>
          <w:color w:val="000000"/>
        </w:rPr>
        <w:t>ценовыми изменениями</w:t>
      </w:r>
    </w:p>
    <w:bookmarkEnd w:id="47"/>
    <w:p>
      <w:pPr>
        <w:spacing w:after="0"/>
        <w:ind w:left="0"/>
        <w:jc w:val="both"/>
      </w:pPr>
      <w:r>
        <w:rPr>
          <w:rFonts w:ascii="Times New Roman"/>
          <w:b w:val="false"/>
          <w:i w:val="false"/>
          <w:color w:val="ff0000"/>
          <w:sz w:val="28"/>
        </w:rPr>
        <w:t xml:space="preserve">
      Сноска. Приложение 3 исключено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ff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к Методике расчета базового</w:t>
            </w:r>
            <w:r>
              <w:br/>
            </w:r>
            <w:r>
              <w:rPr>
                <w:rFonts w:ascii="Times New Roman"/>
                <w:b w:val="false"/>
                <w:i w:val="false"/>
                <w:color w:val="000000"/>
                <w:sz w:val="20"/>
              </w:rPr>
              <w:t>индекса потребительских цен</w:t>
            </w:r>
          </w:p>
        </w:tc>
      </w:tr>
    </w:tbl>
    <w:bookmarkStart w:name="z38" w:id="48"/>
    <w:p>
      <w:pPr>
        <w:spacing w:after="0"/>
        <w:ind w:left="0"/>
        <w:jc w:val="left"/>
      </w:pPr>
      <w:r>
        <w:rPr>
          <w:rFonts w:ascii="Times New Roman"/>
          <w:b/>
          <w:i w:val="false"/>
          <w:color w:val="000000"/>
        </w:rPr>
        <w:t xml:space="preserve"> Расчет базового индекса потребительских цен путем исключения</w:t>
      </w:r>
      <w:r>
        <w:br/>
      </w:r>
      <w:r>
        <w:rPr>
          <w:rFonts w:ascii="Times New Roman"/>
          <w:b/>
          <w:i w:val="false"/>
          <w:color w:val="000000"/>
        </w:rPr>
        <w:t>по восемь процентов отсекаемых "хвостов" с максимальными и</w:t>
      </w:r>
      <w:r>
        <w:br/>
      </w:r>
      <w:r>
        <w:rPr>
          <w:rFonts w:ascii="Times New Roman"/>
          <w:b/>
          <w:i w:val="false"/>
          <w:color w:val="000000"/>
        </w:rPr>
        <w:t>минимальными ценовыми изменениями</w:t>
      </w:r>
    </w:p>
    <w:bookmarkEnd w:id="48"/>
    <w:p>
      <w:pPr>
        <w:spacing w:after="0"/>
        <w:ind w:left="0"/>
        <w:jc w:val="both"/>
      </w:pPr>
      <w:r>
        <w:rPr>
          <w:rFonts w:ascii="Times New Roman"/>
          <w:b w:val="false"/>
          <w:i w:val="false"/>
          <w:color w:val="ff0000"/>
          <w:sz w:val="28"/>
        </w:rPr>
        <w:t xml:space="preserve">
      Сноска. Приложение 4 исключено приказом Руководителя Бюро национальной статистики Агентства по стратегическому планированию и реформам РК от 06.08.2021 </w:t>
      </w:r>
      <w:r>
        <w:rPr>
          <w:rFonts w:ascii="Times New Roman"/>
          <w:b w:val="false"/>
          <w:i w:val="false"/>
          <w:color w:val="ff0000"/>
          <w:sz w:val="28"/>
        </w:rPr>
        <w:t>№ 13</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 Target="media/document_image_rId16.jpeg" Type="http://schemas.openxmlformats.org/officeDocument/2006/relationships/image" Id="rId16"/><Relationship Target="media/document_image_rId17.jpeg" Type="http://schemas.openxmlformats.org/officeDocument/2006/relationships/image" Id="rId17"/><Relationship Target="media/document_image_rId18.jpeg" Type="http://schemas.openxmlformats.org/officeDocument/2006/relationships/image" Id="rId18"/><Relationship Target="media/document_image_rId19.jpeg" Type="http://schemas.openxmlformats.org/officeDocument/2006/relationships/image" Id="rId19"/><Relationship Target="media/document_image_rId20.jpeg" Type="http://schemas.openxmlformats.org/officeDocument/2006/relationships/image" Id="rId20"/><Relationship Target="media/document_image_rId21.jpeg" Type="http://schemas.openxmlformats.org/officeDocument/2006/relationships/image" Id="rId21"/><Relationship Target="media/document_image_rId22.jpeg" Type="http://schemas.openxmlformats.org/officeDocument/2006/relationships/image" Id="rId22"/><Relationship Target="media/document_image_rId23.jpeg" Type="http://schemas.openxmlformats.org/officeDocument/2006/relationships/image" Id="rId23"/><Relationship Target="media/document_image_rId24.jpeg" Type="http://schemas.openxmlformats.org/officeDocument/2006/relationships/image" Id="rId24"/><Relationship Target="media/document_image_rId25.jpeg" Type="http://schemas.openxmlformats.org/officeDocument/2006/relationships/image" Id="rId25"/><Relationship Target="media/document_image_rId26.jpeg" Type="http://schemas.openxmlformats.org/officeDocument/2006/relationships/image" Id="rId26"/></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